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after="120" w:afterLines="50" w:line="312" w:lineRule="auto"/>
        <w:jc w:val="center"/>
        <w:rPr>
          <w:rFonts w:ascii="宋体" w:hAnsi="宋体" w:cs="宋体"/>
          <w:b/>
          <w:bCs/>
          <w:color w:val="auto"/>
          <w:sz w:val="44"/>
          <w:szCs w:val="56"/>
        </w:rPr>
      </w:pPr>
      <w:r>
        <w:rPr>
          <w:rFonts w:hint="eastAsia" w:ascii="宋体" w:hAnsi="宋体" w:cs="宋体"/>
          <w:b/>
          <w:bCs/>
          <w:color w:val="auto"/>
          <w:sz w:val="44"/>
          <w:szCs w:val="56"/>
        </w:rPr>
        <w:t xml:space="preserve"> </w:t>
      </w:r>
    </w:p>
    <w:p>
      <w:pPr>
        <w:spacing w:before="120" w:beforeLines="50" w:after="120" w:afterLines="50" w:line="312" w:lineRule="auto"/>
        <w:jc w:val="center"/>
        <w:rPr>
          <w:rFonts w:ascii="宋体" w:hAnsi="宋体" w:cs="宋体"/>
          <w:b/>
          <w:bCs/>
          <w:color w:val="auto"/>
          <w:sz w:val="44"/>
          <w:szCs w:val="56"/>
        </w:rPr>
      </w:pPr>
      <w:r>
        <w:rPr>
          <w:rFonts w:hint="eastAsia" w:ascii="宋体" w:hAnsi="宋体" w:cs="宋体"/>
          <w:b/>
          <w:bCs/>
          <w:color w:val="auto"/>
          <w:sz w:val="44"/>
          <w:szCs w:val="56"/>
        </w:rPr>
        <w:t xml:space="preserve">东北师范大学2022年综合体育馆变压设备及雨排水等维修改造工程  </w:t>
      </w:r>
    </w:p>
    <w:p>
      <w:pPr>
        <w:pStyle w:val="9"/>
        <w:spacing w:line="240" w:lineRule="auto"/>
        <w:rPr>
          <w:rFonts w:ascii="宋体" w:hAnsi="宋体" w:eastAsia="宋体" w:cs="宋体"/>
          <w:color w:val="auto"/>
        </w:rPr>
      </w:pPr>
    </w:p>
    <w:p>
      <w:pPr>
        <w:spacing w:before="120" w:beforeLines="50" w:after="120" w:afterLines="50"/>
        <w:rPr>
          <w:rFonts w:ascii="宋体" w:hAnsi="宋体" w:cs="宋体"/>
          <w:b/>
          <w:bCs/>
          <w:color w:val="auto"/>
          <w:sz w:val="96"/>
          <w:szCs w:val="96"/>
        </w:rPr>
      </w:pPr>
    </w:p>
    <w:p>
      <w:pPr>
        <w:spacing w:before="120" w:beforeLines="50" w:after="120" w:afterLines="50"/>
        <w:jc w:val="center"/>
        <w:rPr>
          <w:rFonts w:ascii="宋体" w:hAnsi="宋体" w:cs="宋体"/>
          <w:b/>
          <w:bCs/>
          <w:color w:val="auto"/>
          <w:sz w:val="72"/>
          <w:szCs w:val="72"/>
        </w:rPr>
      </w:pPr>
      <w:r>
        <w:rPr>
          <w:rFonts w:hint="eastAsia" w:ascii="宋体" w:hAnsi="宋体" w:cs="宋体"/>
          <w:b/>
          <w:bCs/>
          <w:color w:val="auto"/>
          <w:sz w:val="72"/>
          <w:szCs w:val="72"/>
        </w:rPr>
        <w:t>竞争性磋商文件</w:t>
      </w:r>
    </w:p>
    <w:p>
      <w:pPr>
        <w:pStyle w:val="9"/>
        <w:spacing w:line="240" w:lineRule="auto"/>
        <w:rPr>
          <w:rFonts w:ascii="宋体" w:hAnsi="宋体" w:eastAsia="宋体" w:cs="宋体"/>
          <w:color w:val="auto"/>
        </w:rPr>
      </w:pPr>
    </w:p>
    <w:p>
      <w:pPr>
        <w:spacing w:before="120" w:beforeLines="50" w:after="120" w:afterLines="50"/>
        <w:jc w:val="center"/>
        <w:rPr>
          <w:rFonts w:ascii="宋体" w:hAnsi="宋体" w:cs="宋体"/>
          <w:b/>
          <w:bCs/>
          <w:color w:val="auto"/>
          <w:sz w:val="32"/>
        </w:rPr>
      </w:pPr>
      <w:r>
        <w:rPr>
          <w:rFonts w:hint="eastAsia" w:ascii="宋体" w:hAnsi="宋体" w:cs="宋体"/>
          <w:b/>
          <w:bCs/>
          <w:color w:val="auto"/>
          <w:spacing w:val="15"/>
          <w:szCs w:val="21"/>
        </w:rPr>
        <w:t>项目编号：SYZX2022-080（2）</w:t>
      </w:r>
    </w:p>
    <w:p>
      <w:pPr>
        <w:spacing w:before="120" w:beforeLines="50" w:after="120" w:afterLines="50"/>
        <w:ind w:firstLine="643" w:firstLineChars="200"/>
        <w:rPr>
          <w:rFonts w:ascii="宋体" w:hAnsi="宋体" w:cs="宋体"/>
          <w:b/>
          <w:bCs/>
          <w:color w:val="auto"/>
          <w:sz w:val="32"/>
          <w:szCs w:val="32"/>
        </w:rPr>
      </w:pPr>
    </w:p>
    <w:p>
      <w:pPr>
        <w:spacing w:before="120" w:beforeLines="50" w:after="120" w:afterLines="50"/>
        <w:rPr>
          <w:rFonts w:ascii="宋体" w:hAnsi="宋体" w:cs="宋体"/>
          <w:b/>
          <w:bCs/>
          <w:color w:val="auto"/>
          <w:sz w:val="96"/>
          <w:szCs w:val="96"/>
        </w:rPr>
      </w:pPr>
    </w:p>
    <w:p>
      <w:pPr>
        <w:spacing w:before="120" w:beforeLines="50" w:after="120" w:afterLines="50"/>
        <w:rPr>
          <w:rFonts w:ascii="宋体" w:hAnsi="宋体" w:cs="宋体"/>
          <w:b/>
          <w:bCs/>
          <w:color w:val="auto"/>
          <w:sz w:val="32"/>
          <w:szCs w:val="32"/>
        </w:rPr>
      </w:pPr>
    </w:p>
    <w:p>
      <w:pPr>
        <w:spacing w:before="120" w:beforeLines="50" w:after="120" w:afterLines="50"/>
        <w:rPr>
          <w:rFonts w:ascii="宋体" w:hAnsi="宋体" w:cs="宋体"/>
          <w:b/>
          <w:bCs/>
          <w:color w:val="auto"/>
          <w:sz w:val="32"/>
          <w:szCs w:val="32"/>
        </w:rPr>
      </w:pPr>
    </w:p>
    <w:p>
      <w:pPr>
        <w:spacing w:before="120" w:beforeLines="50" w:after="120" w:afterLines="50"/>
        <w:ind w:firstLine="891" w:firstLineChars="296"/>
        <w:rPr>
          <w:rFonts w:ascii="宋体" w:hAnsi="宋体" w:cs="宋体"/>
          <w:b/>
          <w:bCs/>
          <w:color w:val="auto"/>
          <w:sz w:val="30"/>
          <w:szCs w:val="30"/>
        </w:rPr>
      </w:pPr>
    </w:p>
    <w:p>
      <w:pPr>
        <w:spacing w:before="120" w:beforeLines="50" w:after="120" w:afterLines="50"/>
        <w:ind w:firstLine="1193" w:firstLineChars="396"/>
        <w:rPr>
          <w:rFonts w:ascii="宋体" w:hAnsi="宋体" w:cs="宋体"/>
          <w:b/>
          <w:bCs/>
          <w:color w:val="auto"/>
          <w:sz w:val="30"/>
          <w:szCs w:val="30"/>
          <w:u w:val="single"/>
        </w:rPr>
      </w:pPr>
      <w:r>
        <w:rPr>
          <w:rFonts w:hint="eastAsia" w:ascii="宋体" w:hAnsi="宋体" w:cs="宋体"/>
          <w:b/>
          <w:bCs/>
          <w:color w:val="auto"/>
          <w:sz w:val="30"/>
          <w:szCs w:val="30"/>
        </w:rPr>
        <w:t>采   购  人：</w:t>
      </w:r>
      <w:r>
        <w:rPr>
          <w:rFonts w:hint="eastAsia" w:ascii="宋体" w:hAnsi="宋体" w:cs="宋体"/>
          <w:b/>
          <w:bCs/>
          <w:color w:val="auto"/>
          <w:sz w:val="30"/>
          <w:szCs w:val="30"/>
          <w:u w:val="single"/>
        </w:rPr>
        <w:t>东北师范大学</w:t>
      </w:r>
      <w:r>
        <w:rPr>
          <w:rFonts w:hint="eastAsia" w:ascii="宋体" w:hAnsi="宋体" w:cs="宋体"/>
          <w:b/>
          <w:bCs/>
          <w:color w:val="auto"/>
          <w:sz w:val="30"/>
          <w:szCs w:val="30"/>
        </w:rPr>
        <w:t>（盖章）</w:t>
      </w:r>
    </w:p>
    <w:p>
      <w:pPr>
        <w:spacing w:before="120" w:beforeLines="50" w:after="120" w:afterLines="50"/>
        <w:rPr>
          <w:rFonts w:ascii="宋体" w:hAnsi="宋体" w:cs="宋体"/>
          <w:b/>
          <w:bCs/>
          <w:color w:val="auto"/>
          <w:sz w:val="44"/>
          <w:szCs w:val="44"/>
        </w:rPr>
      </w:pPr>
    </w:p>
    <w:p>
      <w:pPr>
        <w:spacing w:before="120" w:beforeLines="50" w:after="120" w:afterLines="50"/>
        <w:rPr>
          <w:rFonts w:ascii="宋体" w:hAnsi="宋体" w:cs="宋体"/>
          <w:b/>
          <w:bCs/>
          <w:color w:val="auto"/>
          <w:szCs w:val="28"/>
        </w:rPr>
      </w:pPr>
    </w:p>
    <w:p>
      <w:pPr>
        <w:spacing w:before="120" w:beforeLines="50" w:after="120" w:afterLines="50"/>
        <w:ind w:firstLine="602"/>
        <w:jc w:val="center"/>
        <w:rPr>
          <w:rFonts w:ascii="宋体" w:hAnsi="宋体" w:cs="宋体"/>
          <w:b/>
          <w:bCs/>
          <w:color w:val="auto"/>
          <w:sz w:val="30"/>
          <w:szCs w:val="30"/>
        </w:rPr>
      </w:pPr>
      <w:r>
        <w:rPr>
          <w:rFonts w:hint="eastAsia" w:ascii="宋体" w:hAnsi="宋体" w:cs="宋体"/>
          <w:b/>
          <w:bCs/>
          <w:color w:val="auto"/>
          <w:sz w:val="30"/>
          <w:szCs w:val="30"/>
        </w:rPr>
        <w:t>采购代理机构：</w:t>
      </w:r>
      <w:r>
        <w:rPr>
          <w:rFonts w:hint="eastAsia" w:ascii="宋体" w:hAnsi="宋体" w:cs="宋体"/>
          <w:b/>
          <w:bCs/>
          <w:color w:val="auto"/>
          <w:sz w:val="30"/>
          <w:szCs w:val="30"/>
          <w:u w:val="single"/>
        </w:rPr>
        <w:t>吉林省晟裕工程咨询有限公司</w:t>
      </w:r>
      <w:r>
        <w:rPr>
          <w:rFonts w:hint="eastAsia" w:ascii="宋体" w:hAnsi="宋体" w:cs="宋体"/>
          <w:b/>
          <w:bCs/>
          <w:color w:val="auto"/>
          <w:sz w:val="30"/>
          <w:szCs w:val="30"/>
        </w:rPr>
        <w:t>（盖章）</w:t>
      </w:r>
    </w:p>
    <w:p>
      <w:pPr>
        <w:spacing w:before="120" w:beforeLines="50" w:after="120" w:afterLines="50"/>
        <w:rPr>
          <w:rFonts w:ascii="宋体" w:hAnsi="宋体" w:cs="宋体"/>
          <w:b/>
          <w:bCs/>
          <w:color w:val="auto"/>
          <w:sz w:val="30"/>
          <w:szCs w:val="30"/>
        </w:rPr>
      </w:pPr>
    </w:p>
    <w:p>
      <w:pPr>
        <w:spacing w:before="120" w:beforeLines="50" w:after="120" w:afterLines="50"/>
        <w:jc w:val="center"/>
        <w:rPr>
          <w:rFonts w:ascii="宋体" w:hAnsi="宋体" w:cs="宋体"/>
          <w:b/>
          <w:bCs/>
          <w:color w:val="auto"/>
          <w:sz w:val="30"/>
          <w:szCs w:val="30"/>
        </w:rPr>
      </w:pPr>
      <w:r>
        <w:rPr>
          <w:rFonts w:hint="eastAsia" w:ascii="宋体" w:hAnsi="宋体" w:cs="宋体"/>
          <w:b/>
          <w:bCs/>
          <w:color w:val="auto"/>
          <w:sz w:val="30"/>
          <w:szCs w:val="30"/>
        </w:rPr>
        <w:t>二〇二二年六月</w:t>
      </w:r>
    </w:p>
    <w:p>
      <w:pPr>
        <w:spacing w:before="120" w:beforeLines="50" w:after="120" w:afterLines="50"/>
        <w:jc w:val="center"/>
        <w:rPr>
          <w:rFonts w:ascii="宋体" w:hAnsi="宋体" w:cs="宋体"/>
          <w:color w:val="auto"/>
          <w:sz w:val="24"/>
          <w:szCs w:val="24"/>
        </w:rPr>
        <w:sectPr>
          <w:headerReference r:id="rId3" w:type="first"/>
          <w:footerReference r:id="rId6" w:type="first"/>
          <w:footerReference r:id="rId4" w:type="default"/>
          <w:footerReference r:id="rId5" w:type="even"/>
          <w:pgSz w:w="11907" w:h="16840"/>
          <w:pgMar w:top="1440" w:right="1559" w:bottom="1440" w:left="1418" w:header="851" w:footer="992" w:gutter="0"/>
          <w:pgNumType w:start="1"/>
          <w:cols w:space="720" w:num="1"/>
          <w:docGrid w:linePitch="381" w:charSpace="-5735"/>
        </w:sectPr>
      </w:pPr>
    </w:p>
    <w:p>
      <w:pPr>
        <w:spacing w:line="312" w:lineRule="auto"/>
        <w:jc w:val="center"/>
        <w:rPr>
          <w:rFonts w:ascii="宋体" w:hAnsi="宋体" w:cs="宋体"/>
          <w:color w:val="auto"/>
          <w:sz w:val="36"/>
          <w:szCs w:val="36"/>
        </w:rPr>
      </w:pPr>
      <w:r>
        <w:rPr>
          <w:rFonts w:hint="eastAsia" w:ascii="宋体" w:hAnsi="宋体" w:cs="宋体"/>
          <w:color w:val="auto"/>
          <w:sz w:val="36"/>
          <w:szCs w:val="36"/>
        </w:rPr>
        <w:t>目 录</w:t>
      </w:r>
    </w:p>
    <w:p>
      <w:pPr>
        <w:pStyle w:val="38"/>
        <w:tabs>
          <w:tab w:val="right" w:leader="dot" w:pos="8930"/>
        </w:tabs>
        <w:spacing w:line="480" w:lineRule="auto"/>
        <w:rPr>
          <w:rFonts w:ascii="宋体" w:hAnsi="宋体" w:cs="宋体"/>
          <w:color w:val="auto"/>
          <w:sz w:val="24"/>
          <w:szCs w:val="24"/>
        </w:rPr>
      </w:pP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TOC \o "1-2" \h \u </w:instrText>
      </w:r>
      <w:r>
        <w:rPr>
          <w:rFonts w:hint="eastAsia" w:ascii="宋体" w:hAnsi="宋体" w:cs="宋体"/>
          <w:bCs/>
          <w:color w:val="auto"/>
          <w:sz w:val="24"/>
          <w:szCs w:val="24"/>
        </w:rPr>
        <w:fldChar w:fldCharType="separate"/>
      </w:r>
      <w:r>
        <w:rPr>
          <w:color w:val="auto"/>
        </w:rPr>
        <w:fldChar w:fldCharType="begin"/>
      </w:r>
      <w:r>
        <w:rPr>
          <w:color w:val="auto"/>
        </w:rPr>
        <w:instrText xml:space="preserve"> HYPERLINK \l "_Toc24084" </w:instrText>
      </w:r>
      <w:r>
        <w:rPr>
          <w:color w:val="auto"/>
        </w:rPr>
        <w:fldChar w:fldCharType="separate"/>
      </w:r>
      <w:r>
        <w:rPr>
          <w:rFonts w:hint="eastAsia" w:ascii="宋体" w:hAnsi="宋体" w:cs="宋体"/>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_Toc24084 \h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"_Toc15287" </w:instrText>
      </w:r>
      <w:r>
        <w:rPr>
          <w:color w:val="auto"/>
        </w:rPr>
        <w:fldChar w:fldCharType="separate"/>
      </w:r>
      <w:r>
        <w:rPr>
          <w:rFonts w:hint="eastAsia" w:ascii="宋体" w:hAnsi="宋体" w:cs="宋体"/>
          <w:bCs/>
          <w:color w:val="auto"/>
          <w:sz w:val="24"/>
          <w:szCs w:val="24"/>
        </w:rPr>
        <w:t>第二章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_Toc15287 \h </w:instrText>
      </w:r>
      <w:r>
        <w:rPr>
          <w:rFonts w:hint="eastAsia" w:ascii="宋体" w:hAnsi="宋体" w:cs="宋体"/>
          <w:color w:val="auto"/>
          <w:sz w:val="24"/>
          <w:szCs w:val="24"/>
        </w:rPr>
        <w:fldChar w:fldCharType="separate"/>
      </w:r>
      <w:r>
        <w:rPr>
          <w:rFonts w:hint="eastAsia" w:ascii="宋体" w:hAnsi="宋体" w:cs="宋体"/>
          <w:color w:val="auto"/>
          <w:sz w:val="24"/>
          <w:szCs w:val="24"/>
        </w:rPr>
        <w:t>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"_Toc32563" </w:instrText>
      </w:r>
      <w:r>
        <w:rPr>
          <w:color w:val="auto"/>
        </w:rPr>
        <w:fldChar w:fldCharType="separate"/>
      </w:r>
      <w:r>
        <w:rPr>
          <w:rFonts w:hint="eastAsia" w:ascii="宋体" w:hAnsi="宋体" w:cs="宋体"/>
          <w:bCs/>
          <w:color w:val="auto"/>
          <w:sz w:val="24"/>
          <w:szCs w:val="24"/>
        </w:rPr>
        <w:t>第三章 评审方法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_Toc32563 \h </w:instrText>
      </w:r>
      <w:r>
        <w:rPr>
          <w:rFonts w:hint="eastAsia" w:ascii="宋体" w:hAnsi="宋体" w:cs="宋体"/>
          <w:color w:val="auto"/>
          <w:sz w:val="24"/>
          <w:szCs w:val="24"/>
        </w:rPr>
        <w:fldChar w:fldCharType="separate"/>
      </w:r>
      <w:r>
        <w:rPr>
          <w:rFonts w:hint="eastAsia" w:ascii="宋体" w:hAnsi="宋体" w:cs="宋体"/>
          <w:color w:val="auto"/>
          <w:sz w:val="24"/>
          <w:szCs w:val="24"/>
        </w:rPr>
        <w:t>21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"_Toc11629" </w:instrText>
      </w:r>
      <w:r>
        <w:rPr>
          <w:color w:val="auto"/>
        </w:rPr>
        <w:fldChar w:fldCharType="separate"/>
      </w:r>
      <w:r>
        <w:rPr>
          <w:rFonts w:hint="eastAsia" w:ascii="宋体" w:hAnsi="宋体" w:cs="宋体"/>
          <w:bCs/>
          <w:color w:val="auto"/>
          <w:sz w:val="24"/>
          <w:szCs w:val="24"/>
        </w:rPr>
        <w:t>第四章 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_Toc11629 \h </w:instrText>
      </w:r>
      <w:r>
        <w:rPr>
          <w:rFonts w:hint="eastAsia" w:ascii="宋体" w:hAnsi="宋体" w:cs="宋体"/>
          <w:color w:val="auto"/>
          <w:sz w:val="24"/>
          <w:szCs w:val="24"/>
        </w:rPr>
        <w:fldChar w:fldCharType="separate"/>
      </w:r>
      <w:r>
        <w:rPr>
          <w:rFonts w:hint="eastAsia" w:ascii="宋体" w:hAnsi="宋体" w:cs="宋体"/>
          <w:color w:val="auto"/>
          <w:sz w:val="24"/>
          <w:szCs w:val="24"/>
        </w:rPr>
        <w:t>37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"_Toc28365" </w:instrText>
      </w:r>
      <w:r>
        <w:rPr>
          <w:color w:val="auto"/>
        </w:rPr>
        <w:fldChar w:fldCharType="separate"/>
      </w:r>
      <w:r>
        <w:rPr>
          <w:rFonts w:hint="eastAsia" w:ascii="宋体" w:hAnsi="宋体" w:cs="宋体"/>
          <w:bCs/>
          <w:color w:val="auto"/>
          <w:sz w:val="24"/>
          <w:szCs w:val="24"/>
        </w:rPr>
        <w:t>第五章 工程量清单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_Toc28365 \h </w:instrText>
      </w:r>
      <w:r>
        <w:rPr>
          <w:rFonts w:hint="eastAsia" w:ascii="宋体" w:hAnsi="宋体" w:cs="宋体"/>
          <w:color w:val="auto"/>
          <w:sz w:val="24"/>
          <w:szCs w:val="24"/>
        </w:rPr>
        <w:fldChar w:fldCharType="separate"/>
      </w:r>
      <w:r>
        <w:rPr>
          <w:rFonts w:hint="eastAsia" w:ascii="宋体" w:hAnsi="宋体" w:cs="宋体"/>
          <w:color w:val="auto"/>
          <w:sz w:val="24"/>
          <w:szCs w:val="24"/>
        </w:rPr>
        <w:t>38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"_Toc24295" </w:instrText>
      </w:r>
      <w:r>
        <w:rPr>
          <w:color w:val="auto"/>
        </w:rPr>
        <w:fldChar w:fldCharType="separate"/>
      </w:r>
      <w:r>
        <w:rPr>
          <w:rFonts w:hint="eastAsia" w:ascii="宋体" w:hAnsi="宋体" w:cs="宋体"/>
          <w:bCs/>
          <w:color w:val="auto"/>
          <w:sz w:val="24"/>
          <w:szCs w:val="24"/>
        </w:rPr>
        <w:t>第六章 图纸</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_Toc24295 \h </w:instrText>
      </w:r>
      <w:r>
        <w:rPr>
          <w:rFonts w:hint="eastAsia" w:ascii="宋体" w:hAnsi="宋体" w:cs="宋体"/>
          <w:color w:val="auto"/>
          <w:sz w:val="24"/>
          <w:szCs w:val="24"/>
        </w:rPr>
        <w:fldChar w:fldCharType="separate"/>
      </w:r>
      <w:r>
        <w:rPr>
          <w:rFonts w:hint="eastAsia" w:ascii="宋体" w:hAnsi="宋体" w:cs="宋体"/>
          <w:color w:val="auto"/>
          <w:sz w:val="24"/>
          <w:szCs w:val="24"/>
        </w:rPr>
        <w:t>39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"_Toc5655" </w:instrText>
      </w:r>
      <w:r>
        <w:rPr>
          <w:color w:val="auto"/>
        </w:rPr>
        <w:fldChar w:fldCharType="separate"/>
      </w:r>
      <w:r>
        <w:rPr>
          <w:rFonts w:hint="eastAsia" w:ascii="宋体" w:hAnsi="宋体" w:cs="宋体"/>
          <w:bCs/>
          <w:color w:val="auto"/>
          <w:sz w:val="24"/>
          <w:szCs w:val="24"/>
        </w:rPr>
        <w:t>第七章 磋商项目需求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_Toc5655 \h </w:instrText>
      </w:r>
      <w:r>
        <w:rPr>
          <w:rFonts w:hint="eastAsia" w:ascii="宋体" w:hAnsi="宋体" w:cs="宋体"/>
          <w:color w:val="auto"/>
          <w:sz w:val="24"/>
          <w:szCs w:val="24"/>
        </w:rPr>
        <w:fldChar w:fldCharType="separate"/>
      </w:r>
      <w:r>
        <w:rPr>
          <w:rFonts w:hint="eastAsia" w:ascii="宋体" w:hAnsi="宋体" w:cs="宋体"/>
          <w:color w:val="auto"/>
          <w:sz w:val="24"/>
          <w:szCs w:val="24"/>
        </w:rPr>
        <w:t>40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"_Toc30232" </w:instrText>
      </w:r>
      <w:r>
        <w:rPr>
          <w:color w:val="auto"/>
        </w:rPr>
        <w:fldChar w:fldCharType="separate"/>
      </w:r>
      <w:r>
        <w:rPr>
          <w:rFonts w:hint="eastAsia" w:ascii="宋体" w:hAnsi="宋体" w:cs="宋体"/>
          <w:bCs/>
          <w:color w:val="auto"/>
          <w:sz w:val="24"/>
          <w:szCs w:val="24"/>
        </w:rPr>
        <w:t>第八章 响应文件内容及格式要求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_Toc30232 \h </w:instrText>
      </w:r>
      <w:r>
        <w:rPr>
          <w:rFonts w:hint="eastAsia" w:ascii="宋体" w:hAnsi="宋体" w:cs="宋体"/>
          <w:color w:val="auto"/>
          <w:sz w:val="24"/>
          <w:szCs w:val="24"/>
        </w:rPr>
        <w:fldChar w:fldCharType="separate"/>
      </w:r>
      <w:r>
        <w:rPr>
          <w:rFonts w:hint="eastAsia" w:ascii="宋体" w:hAnsi="宋体" w:cs="宋体"/>
          <w:color w:val="auto"/>
          <w:sz w:val="24"/>
          <w:szCs w:val="24"/>
        </w:rPr>
        <w:t>54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spacing w:before="120" w:beforeLines="50" w:after="120" w:afterLines="50" w:line="480" w:lineRule="auto"/>
        <w:jc w:val="center"/>
        <w:rPr>
          <w:rFonts w:ascii="宋体" w:hAnsi="宋体" w:cs="宋体"/>
          <w:b/>
          <w:bCs/>
          <w:color w:val="auto"/>
          <w:sz w:val="24"/>
          <w:szCs w:val="24"/>
        </w:rPr>
        <w:sectPr>
          <w:footerReference r:id="rId7" w:type="default"/>
          <w:pgSz w:w="11907" w:h="16840"/>
          <w:pgMar w:top="1440" w:right="1559" w:bottom="1440" w:left="1418" w:header="851" w:footer="992" w:gutter="0"/>
          <w:pgNumType w:start="1"/>
          <w:cols w:space="720" w:num="1"/>
          <w:docGrid w:linePitch="381" w:charSpace="-5735"/>
        </w:sectPr>
      </w:pPr>
      <w:r>
        <w:rPr>
          <w:rFonts w:hint="eastAsia" w:ascii="宋体" w:hAnsi="宋体" w:cs="宋体"/>
          <w:bCs/>
          <w:color w:val="auto"/>
          <w:sz w:val="24"/>
          <w:szCs w:val="24"/>
        </w:rPr>
        <w:fldChar w:fldCharType="end"/>
      </w:r>
    </w:p>
    <w:p>
      <w:pPr>
        <w:pStyle w:val="5"/>
        <w:spacing w:line="312" w:lineRule="auto"/>
        <w:rPr>
          <w:rFonts w:cs="宋体"/>
          <w:color w:val="auto"/>
        </w:rPr>
      </w:pPr>
      <w:bookmarkStart w:id="0" w:name="_Toc11641050"/>
      <w:bookmarkStart w:id="1" w:name="_Toc12789052"/>
      <w:bookmarkStart w:id="2" w:name="_Toc382374835"/>
      <w:bookmarkStart w:id="3" w:name="_Toc24084"/>
      <w:bookmarkStart w:id="4" w:name="_Toc4597_WPSOffice_Level1"/>
      <w:r>
        <w:rPr>
          <w:rFonts w:hint="eastAsia" w:cs="宋体"/>
          <w:color w:val="auto"/>
        </w:rPr>
        <w:t>第一章</w:t>
      </w:r>
      <w:bookmarkEnd w:id="0"/>
      <w:bookmarkEnd w:id="1"/>
      <w:bookmarkEnd w:id="2"/>
      <w:r>
        <w:rPr>
          <w:rFonts w:hint="eastAsia" w:cs="宋体"/>
          <w:color w:val="auto"/>
        </w:rPr>
        <w:t xml:space="preserve"> 竞争性磋商公告</w:t>
      </w:r>
      <w:bookmarkEnd w:id="3"/>
      <w:bookmarkEnd w:id="4"/>
    </w:p>
    <w:p>
      <w:pPr>
        <w:spacing w:line="312" w:lineRule="auto"/>
        <w:rPr>
          <w:rFonts w:ascii="宋体" w:hAnsi="宋体" w:cs="宋体"/>
          <w:color w:val="auto"/>
          <w:sz w:val="21"/>
          <w:szCs w:val="21"/>
        </w:rPr>
      </w:pPr>
      <w:bookmarkStart w:id="5" w:name="_Toc29704"/>
      <w:bookmarkStart w:id="6" w:name="_Toc15287"/>
      <w:bookmarkStart w:id="7" w:name="_Toc27996_WPSOffice_Level1"/>
    </w:p>
    <w:p>
      <w:pPr>
        <w:pBdr>
          <w:top w:val="single" w:color="auto" w:sz="4" w:space="1"/>
          <w:left w:val="single" w:color="auto" w:sz="4" w:space="4"/>
          <w:bottom w:val="single" w:color="auto" w:sz="4" w:space="1"/>
          <w:right w:val="single" w:color="auto" w:sz="4" w:space="4"/>
        </w:pBd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项目概况</w:t>
      </w:r>
    </w:p>
    <w:p>
      <w:pPr>
        <w:pBdr>
          <w:top w:val="single" w:color="auto" w:sz="4" w:space="1"/>
          <w:left w:val="single" w:color="auto" w:sz="4" w:space="4"/>
          <w:bottom w:val="single" w:color="auto" w:sz="4" w:space="1"/>
          <w:right w:val="single" w:color="auto" w:sz="4" w:space="4"/>
        </w:pBdr>
        <w:spacing w:line="312" w:lineRule="auto"/>
        <w:ind w:firstLine="420" w:firstLineChars="200"/>
        <w:rPr>
          <w:rFonts w:ascii="宋体" w:hAnsi="宋体" w:cs="宋体"/>
          <w:color w:val="auto"/>
          <w:sz w:val="21"/>
          <w:szCs w:val="21"/>
        </w:rPr>
      </w:pPr>
      <w:r>
        <w:rPr>
          <w:rFonts w:hint="eastAsia" w:ascii="宋体" w:hAnsi="宋体" w:cs="宋体"/>
          <w:color w:val="auto"/>
          <w:sz w:val="21"/>
          <w:szCs w:val="21"/>
          <w:u w:val="single"/>
        </w:rPr>
        <w:t xml:space="preserve"> 东北师范大学2022年校园安全供水系统与综合体育馆变压设备及雨排水等维修改造工程</w:t>
      </w:r>
      <w:r>
        <w:rPr>
          <w:rFonts w:hint="eastAsia" w:ascii="宋体" w:hAnsi="宋体" w:cs="宋体"/>
          <w:color w:val="auto"/>
          <w:sz w:val="21"/>
          <w:szCs w:val="21"/>
        </w:rPr>
        <w:t>的潜在供应商应在网络形式（详见三、获取采购文件）获取采购文件，并于</w:t>
      </w:r>
      <w:r>
        <w:rPr>
          <w:rFonts w:hint="eastAsia" w:ascii="宋体" w:hAnsi="宋体" w:cs="宋体"/>
          <w:color w:val="auto"/>
          <w:sz w:val="21"/>
          <w:szCs w:val="21"/>
          <w:u w:val="single"/>
        </w:rPr>
        <w:t>2022年7月2日 9 点 30分</w:t>
      </w:r>
      <w:r>
        <w:rPr>
          <w:rFonts w:hint="eastAsia" w:ascii="宋体" w:hAnsi="宋体" w:cs="宋体"/>
          <w:bCs/>
          <w:color w:val="auto"/>
          <w:sz w:val="21"/>
          <w:szCs w:val="21"/>
        </w:rPr>
        <w:t>（北京时间）前提交响应文件</w:t>
      </w:r>
      <w:r>
        <w:rPr>
          <w:rFonts w:hint="eastAsia" w:ascii="宋体" w:hAnsi="宋体" w:cs="宋体"/>
          <w:color w:val="auto"/>
          <w:sz w:val="21"/>
          <w:szCs w:val="21"/>
        </w:rPr>
        <w:t>。</w:t>
      </w:r>
    </w:p>
    <w:p>
      <w:pPr>
        <w:spacing w:line="312" w:lineRule="auto"/>
        <w:rPr>
          <w:rFonts w:ascii="宋体" w:hAnsi="宋体" w:cs="宋体"/>
          <w:color w:val="auto"/>
          <w:sz w:val="21"/>
          <w:szCs w:val="21"/>
        </w:rPr>
      </w:pPr>
      <w:r>
        <w:rPr>
          <w:rFonts w:hint="eastAsia" w:ascii="宋体" w:hAnsi="宋体" w:cs="宋体"/>
          <w:color w:val="auto"/>
          <w:sz w:val="21"/>
          <w:szCs w:val="21"/>
        </w:rPr>
        <w:t>一、项目基本情况</w:t>
      </w:r>
    </w:p>
    <w:p>
      <w:pPr>
        <w:spacing w:line="312" w:lineRule="auto"/>
        <w:rPr>
          <w:rFonts w:ascii="宋体" w:hAnsi="宋体" w:cs="宋体"/>
          <w:color w:val="auto"/>
          <w:sz w:val="21"/>
          <w:szCs w:val="21"/>
        </w:rPr>
      </w:pPr>
      <w:r>
        <w:rPr>
          <w:rFonts w:hint="eastAsia" w:ascii="宋体" w:hAnsi="宋体" w:cs="宋体"/>
          <w:color w:val="auto"/>
          <w:sz w:val="21"/>
          <w:szCs w:val="21"/>
        </w:rPr>
        <w:t>1.项目编号：SYZX2022-080；</w:t>
      </w:r>
    </w:p>
    <w:p>
      <w:pPr>
        <w:spacing w:line="312" w:lineRule="auto"/>
        <w:rPr>
          <w:rFonts w:ascii="宋体" w:hAnsi="宋体" w:cs="宋体"/>
          <w:color w:val="auto"/>
          <w:sz w:val="21"/>
          <w:szCs w:val="21"/>
        </w:rPr>
      </w:pPr>
      <w:r>
        <w:rPr>
          <w:rFonts w:hint="eastAsia" w:ascii="宋体" w:hAnsi="宋体" w:cs="宋体"/>
          <w:color w:val="auto"/>
          <w:sz w:val="21"/>
          <w:szCs w:val="21"/>
        </w:rPr>
        <w:t>2.项目名称：一标段：东北师范大学2022年校园安全供水系统维修改造工程；</w:t>
      </w:r>
    </w:p>
    <w:p>
      <w:pPr>
        <w:spacing w:line="312" w:lineRule="auto"/>
        <w:rPr>
          <w:rFonts w:ascii="宋体" w:hAnsi="宋体" w:cs="宋体"/>
          <w:color w:val="auto"/>
          <w:sz w:val="21"/>
          <w:szCs w:val="21"/>
        </w:rPr>
      </w:pPr>
      <w:r>
        <w:rPr>
          <w:rFonts w:hint="eastAsia" w:ascii="宋体" w:hAnsi="宋体" w:cs="宋体"/>
          <w:color w:val="auto"/>
          <w:sz w:val="21"/>
          <w:szCs w:val="21"/>
        </w:rPr>
        <w:t xml:space="preserve">            二标段：东北师范大学2022年综合体育馆变压设备及雨排水等维修改造工程；</w:t>
      </w:r>
    </w:p>
    <w:p>
      <w:pPr>
        <w:spacing w:line="312" w:lineRule="auto"/>
        <w:rPr>
          <w:rFonts w:ascii="宋体" w:hAnsi="宋体" w:cs="宋体"/>
          <w:color w:val="auto"/>
          <w:sz w:val="21"/>
          <w:szCs w:val="21"/>
        </w:rPr>
      </w:pPr>
      <w:r>
        <w:rPr>
          <w:rFonts w:hint="eastAsia" w:ascii="宋体" w:hAnsi="宋体" w:cs="宋体"/>
          <w:color w:val="auto"/>
          <w:sz w:val="21"/>
          <w:szCs w:val="21"/>
        </w:rPr>
        <w:t>3.采购方式： 竞争性磋商；</w:t>
      </w:r>
    </w:p>
    <w:p>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4.预算金额：一标段：人民币2201713元（其中包含暂列金251000元）；</w:t>
      </w:r>
    </w:p>
    <w:p>
      <w:pPr>
        <w:spacing w:line="312" w:lineRule="auto"/>
        <w:ind w:firstLine="1260" w:firstLineChars="6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二标段：人民币1612812元（其中包含暂列金140000元）</w:t>
      </w:r>
      <w:r>
        <w:rPr>
          <w:rFonts w:hint="eastAsia" w:ascii="宋体" w:hAnsi="宋体" w:cs="宋体"/>
          <w:color w:val="auto"/>
          <w:sz w:val="21"/>
          <w:szCs w:val="21"/>
          <w:highlight w:val="none"/>
          <w:lang w:eastAsia="zh-CN"/>
        </w:rPr>
        <w:t>；</w:t>
      </w:r>
    </w:p>
    <w:p>
      <w:pPr>
        <w:spacing w:line="312" w:lineRule="auto"/>
        <w:rPr>
          <w:rFonts w:ascii="宋体" w:hAnsi="宋体" w:cs="宋体"/>
          <w:color w:val="auto"/>
          <w:sz w:val="21"/>
          <w:szCs w:val="21"/>
        </w:rPr>
      </w:pPr>
      <w:r>
        <w:rPr>
          <w:rFonts w:hint="eastAsia" w:ascii="宋体" w:hAnsi="宋体" w:cs="宋体"/>
          <w:color w:val="auto"/>
          <w:sz w:val="21"/>
          <w:szCs w:val="21"/>
        </w:rPr>
        <w:t>5.采购需求：</w:t>
      </w:r>
    </w:p>
    <w:p>
      <w:pPr>
        <w:spacing w:line="312" w:lineRule="auto"/>
        <w:rPr>
          <w:rFonts w:ascii="宋体" w:hAnsi="宋体" w:cs="宋体"/>
          <w:color w:val="auto"/>
          <w:sz w:val="21"/>
          <w:szCs w:val="21"/>
        </w:rPr>
      </w:pPr>
      <w:r>
        <w:rPr>
          <w:rFonts w:hint="eastAsia" w:ascii="宋体" w:hAnsi="宋体" w:cs="宋体"/>
          <w:color w:val="auto"/>
          <w:sz w:val="21"/>
          <w:szCs w:val="21"/>
        </w:rPr>
        <w:t>（1）采购范围：</w:t>
      </w:r>
      <w:r>
        <w:rPr>
          <w:rFonts w:hint="eastAsia" w:ascii="宋体" w:hAnsi="宋体" w:cs="宋体"/>
          <w:color w:val="auto"/>
          <w:sz w:val="21"/>
          <w:szCs w:val="21"/>
        </w:rPr>
        <w:t>一标段：泵房内配套设备维修改造；（具体内容详见图纸及工程量清单）</w:t>
      </w:r>
    </w:p>
    <w:p>
      <w:pPr>
        <w:spacing w:line="312" w:lineRule="auto"/>
        <w:ind w:left="2520" w:hanging="2520" w:hangingChars="1200"/>
        <w:rPr>
          <w:rFonts w:ascii="宋体" w:hAnsi="宋体" w:cs="宋体"/>
          <w:color w:val="auto"/>
          <w:sz w:val="21"/>
          <w:szCs w:val="21"/>
        </w:rPr>
      </w:pPr>
      <w:r>
        <w:rPr>
          <w:rFonts w:hint="eastAsia" w:ascii="宋体" w:hAnsi="宋体" w:cs="宋体"/>
          <w:color w:val="auto"/>
          <w:sz w:val="21"/>
          <w:szCs w:val="21"/>
        </w:rPr>
        <w:t xml:space="preserve">               二标段：①综合体育馆雨排水系统维修改造；②2台高压环网柜、4台箱式变压器高压柜更换；③综合体育馆通风管道维修改造；</w:t>
      </w:r>
    </w:p>
    <w:p>
      <w:pPr>
        <w:spacing w:line="312" w:lineRule="auto"/>
        <w:ind w:firstLine="2310" w:firstLineChars="1100"/>
        <w:rPr>
          <w:rFonts w:ascii="宋体" w:hAnsi="宋体" w:cs="宋体"/>
          <w:color w:val="auto"/>
          <w:sz w:val="21"/>
          <w:szCs w:val="21"/>
        </w:rPr>
      </w:pPr>
      <w:r>
        <w:rPr>
          <w:rFonts w:hint="eastAsia" w:ascii="宋体" w:hAnsi="宋体" w:cs="宋体"/>
          <w:color w:val="auto"/>
          <w:sz w:val="21"/>
          <w:szCs w:val="21"/>
        </w:rPr>
        <w:t>（具体内容详见图纸及工程量清单）。</w:t>
      </w:r>
    </w:p>
    <w:p>
      <w:pPr>
        <w:spacing w:line="312" w:lineRule="auto"/>
        <w:rPr>
          <w:rFonts w:ascii="宋体" w:hAnsi="宋体" w:cs="宋体"/>
          <w:color w:val="auto"/>
          <w:sz w:val="21"/>
          <w:szCs w:val="21"/>
        </w:rPr>
      </w:pPr>
      <w:r>
        <w:rPr>
          <w:rFonts w:hint="eastAsia" w:ascii="宋体" w:hAnsi="宋体" w:cs="宋体"/>
          <w:color w:val="auto"/>
          <w:sz w:val="21"/>
          <w:szCs w:val="21"/>
        </w:rPr>
        <w:t>（2）工程地点：东北师范大学。</w:t>
      </w:r>
    </w:p>
    <w:p>
      <w:pPr>
        <w:spacing w:line="312" w:lineRule="auto"/>
        <w:rPr>
          <w:rFonts w:ascii="宋体" w:hAnsi="宋体" w:cs="宋体"/>
          <w:color w:val="auto"/>
          <w:sz w:val="21"/>
          <w:szCs w:val="21"/>
        </w:rPr>
      </w:pPr>
      <w:r>
        <w:rPr>
          <w:rFonts w:hint="eastAsia" w:ascii="宋体" w:hAnsi="宋体" w:cs="宋体"/>
          <w:color w:val="auto"/>
          <w:sz w:val="21"/>
          <w:szCs w:val="21"/>
        </w:rPr>
        <w:t>（3）质量要求：符合现行国家有关工程施工验收规范和标准的合格工程。</w:t>
      </w:r>
    </w:p>
    <w:p>
      <w:pPr>
        <w:spacing w:line="312" w:lineRule="auto"/>
        <w:rPr>
          <w:rFonts w:ascii="宋体" w:hAnsi="宋体" w:cs="宋体"/>
          <w:color w:val="auto"/>
          <w:sz w:val="21"/>
          <w:szCs w:val="21"/>
        </w:rPr>
      </w:pPr>
      <w:r>
        <w:rPr>
          <w:rFonts w:hint="eastAsia" w:ascii="宋体" w:hAnsi="宋体" w:cs="宋体"/>
          <w:color w:val="auto"/>
          <w:sz w:val="21"/>
          <w:szCs w:val="21"/>
        </w:rPr>
        <w:t>6.合同履行期限（计划工期）：项目工期为35天，预计2022年7月10日-2022年8月15日（具体时间以合同实际签订为准）。</w:t>
      </w:r>
    </w:p>
    <w:p>
      <w:pPr>
        <w:spacing w:line="312" w:lineRule="auto"/>
        <w:rPr>
          <w:rFonts w:ascii="宋体" w:hAnsi="宋体" w:cs="宋体"/>
          <w:color w:val="auto"/>
          <w:sz w:val="21"/>
          <w:szCs w:val="21"/>
        </w:rPr>
      </w:pPr>
      <w:r>
        <w:rPr>
          <w:rFonts w:hint="eastAsia" w:ascii="宋体" w:hAnsi="宋体" w:cs="宋体"/>
          <w:color w:val="auto"/>
          <w:sz w:val="21"/>
          <w:szCs w:val="21"/>
        </w:rPr>
        <w:t>7.本项目不接受联合体。</w:t>
      </w:r>
    </w:p>
    <w:p>
      <w:pPr>
        <w:pStyle w:val="6"/>
        <w:spacing w:line="312" w:lineRule="auto"/>
        <w:rPr>
          <w:rFonts w:ascii="宋体" w:hAnsi="宋体" w:eastAsia="宋体" w:cs="宋体"/>
          <w:b w:val="0"/>
          <w:color w:val="auto"/>
          <w:sz w:val="21"/>
          <w:szCs w:val="21"/>
        </w:rPr>
      </w:pPr>
      <w:bookmarkStart w:id="8" w:name="_Toc28359090"/>
      <w:bookmarkStart w:id="9" w:name="_Toc28359013"/>
      <w:bookmarkStart w:id="10" w:name="_Toc35393630"/>
      <w:bookmarkStart w:id="11" w:name="_Toc769"/>
      <w:bookmarkStart w:id="12" w:name="_Toc11671"/>
      <w:bookmarkStart w:id="13" w:name="_Toc5017"/>
      <w:bookmarkStart w:id="14" w:name="_Toc35393799"/>
      <w:r>
        <w:rPr>
          <w:rFonts w:hint="eastAsia" w:ascii="宋体" w:hAnsi="宋体" w:eastAsia="宋体" w:cs="宋体"/>
          <w:b w:val="0"/>
          <w:color w:val="auto"/>
          <w:sz w:val="21"/>
          <w:szCs w:val="21"/>
        </w:rPr>
        <w:t>二、申请人的资格要求：</w:t>
      </w:r>
      <w:bookmarkEnd w:id="8"/>
      <w:bookmarkEnd w:id="9"/>
      <w:bookmarkEnd w:id="10"/>
      <w:bookmarkEnd w:id="11"/>
      <w:bookmarkEnd w:id="12"/>
      <w:bookmarkEnd w:id="13"/>
      <w:bookmarkEnd w:id="14"/>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1.满足《中华人民共和国政府采购法》第二十二条规定，即：</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（1）具有独立承担民事责任的能力；</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（2）具有良好的商业信誉和健全的财务会计制度；</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（3）具有履行合同所必需的设备和专业技术能力；</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（4）有依法缴纳税收和社会保障资金的良好记录；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（5）参加政府采购活动前三年内，在经营活动中没有重大违法记录；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（6）法律、行政法规规定的其他条件。</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2.落实政府采购政策需满足的资格要求：</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（1）根据《政府采购促进中小企业发展管理办法》（财库〔2020〕46号）规定，本项目专门面向中小企业采购，</w:t>
      </w:r>
      <w:r>
        <w:rPr>
          <w:rFonts w:hint="eastAsia" w:ascii="宋体" w:hAnsi="宋体" w:cs="宋体"/>
          <w:b/>
          <w:bCs/>
          <w:color w:val="auto"/>
          <w:spacing w:val="14"/>
          <w:kern w:val="0"/>
          <w:sz w:val="21"/>
          <w:szCs w:val="21"/>
        </w:rPr>
        <w:t>不接受非中小企业参与本项目。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（2）根据《关于政府采购支持监狱企业发展有关问题的通知》规定，在政府采购活动中，监狱企业视同小型、微型企业，享受预留份额、评审中价格扣除等政府采购促进中小企业发展的政府采购政策。</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（3）根据《关于促进残疾人就业政府采购政策的通知》规定，在政府采购活动中，残疾人福利性单位视同小型、微型企业，享受预留份额、评审中价格扣除等促进中小企业发展的政府采购政策。</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注：①中小企业参加政府采购活动（依据《中小企业划型标准规定》中</w:t>
      </w:r>
      <w:r>
        <w:rPr>
          <w:rFonts w:hint="eastAsia" w:ascii="宋体" w:hAnsi="宋体" w:cs="宋体"/>
          <w:color w:val="auto"/>
          <w:spacing w:val="14"/>
          <w:kern w:val="0"/>
          <w:sz w:val="21"/>
          <w:szCs w:val="21"/>
          <w:u w:val="single"/>
        </w:rPr>
        <w:t>建筑业</w:t>
      </w:r>
      <w:r>
        <w:rPr>
          <w:rFonts w:hint="eastAsia" w:ascii="宋体" w:hAnsi="宋体" w:cs="宋体"/>
          <w:color w:val="auto"/>
          <w:spacing w:val="14"/>
          <w:kern w:val="0"/>
          <w:sz w:val="21"/>
          <w:szCs w:val="21"/>
        </w:rPr>
        <w:t xml:space="preserve">划型标准划定），应当出具《政府采购促进中小企业发展管理办法》规定的《中小企业声明函》，否则不得享受相关中小企业扶持政策。       </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②监狱企业参加政府采购活动时，应当提供由省级以上监狱管理局、戒毒管理局（含新疆生产建设兵团）出具的属于监狱企业的证明文件。</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③残疾人福利性单位在参加政府采购活动时，应当按规定提供《残疾人福利性单位声明函》，并对声明的真实性负责。</w:t>
      </w:r>
    </w:p>
    <w:p>
      <w:pPr>
        <w:pStyle w:val="52"/>
        <w:numPr>
          <w:ilvl w:val="0"/>
          <w:numId w:val="1"/>
        </w:numPr>
        <w:rPr>
          <w:rFonts w:cs="宋体"/>
          <w:color w:val="auto"/>
          <w:spacing w:val="14"/>
          <w:sz w:val="21"/>
          <w:szCs w:val="21"/>
        </w:rPr>
      </w:pPr>
      <w:r>
        <w:rPr>
          <w:rFonts w:hint="eastAsia" w:cs="宋体"/>
          <w:color w:val="auto"/>
          <w:spacing w:val="14"/>
          <w:sz w:val="21"/>
          <w:szCs w:val="21"/>
        </w:rPr>
        <w:t>本项目的特定资格要求：</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一标段供应商须是具备建设行政主管部门核发的机电工程施工总承包叁级及以上资质的法人或其他组织；二标段供应商须是具备建设行政主管部门核发的电力工程施工总承包叁级及以上（或输变电工程专业承包叁级及以上）资质和承装（修、试）电力五级及以上资质的法人或其他组织；具备有效的安全生产许可证，并在人员、设备、资金等方面具有承揽本项目相应的能力。（执行《住房和城乡建设（部关于印发建设工程企业资质管理制度改革方案的通知》建市【2020】94号文件、《吉林省住房和城乡建设厅关于延长建设工程企业资质有效期的通知》吉建办【2021】99号文件、《关于疫情防控期间安全生产许可证等业务办理有关事项的补充通知》吉建安【2022】7号文件的规定）</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3.2供应商拟派出的项目经理须具备机电工程专业贰级及以上注册建造师资格，具备有效的安全生产考核合格证。供应商拟派的项目经理应无在建工程，否则将否决其响应文件。</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3.3近三年（2019年、2020年、2021年）财务状况良好，具有财务审计报告。（成立年限不足三年的提供成立之日起到2021年度加盖公章的财务审计报告即可；2021年成立至2022年1月1日不足1年或2022年成立的公司提供加盖公章的财务报表即可。）</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3.4</w:t>
      </w:r>
      <w:r>
        <w:rPr>
          <w:rFonts w:hint="eastAsia" w:ascii="宋体" w:hAnsi="宋体" w:cs="宋体"/>
          <w:color w:val="auto"/>
          <w:sz w:val="21"/>
          <w:szCs w:val="21"/>
        </w:rPr>
        <w:t>供应商需提供近一年（2021年6月1日至2022年5月31日）任意连续三个月的缴纳社保证明及纳税证明材料。</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3.5拒绝列入政府取消投标资格记录期间的企业或个人参与本项目。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3.6与采购人存在利害关系可能影响磋商公正性的法人、其他组织或者个人，不得参与本项目。单位负责人为同一人或者存在直接控股、管理关系的不同供应商，不得参加同一合同项下的政府采购活动。</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3.7拒绝列入全国建筑市场监管公共服务平台建筑市场主体“黑名单”的企业或个人参与本项目。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3.8未被列入信用中国网（www.creditchina.gov.cn）渠道信用记录失信被执行人、重大税收违法案件当事人名单（即“税收违法黑名单”）；未被列入中国政府采购网（http://www.ccgp.gov.cn）政府采购严重违法失信行为记录名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3.9中国裁判文书网（hppt://wenshu.court.gov.cn/）中供应商及法定代表人近三年无行贿犯罪记录。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3.10本次磋商不接受联合体参与。</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3.11本项目委托代理人、项目经理需具有近一年（2021年6月1日至2022年5月31日）任意连续三个月的社保证明，且本项目委托代理人在签订合同完成前不得随意更换。</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3.12外省入吉建筑业企业应按照吉林省相关要求办理入吉登记后方可参与本项目。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3.13根据教育部审计（教财经责报[2017]22号）要求，不接受涉及我校刑事案件的供应商参与本项目。</w:t>
      </w:r>
    </w:p>
    <w:p>
      <w:pPr>
        <w:pStyle w:val="6"/>
        <w:spacing w:line="312" w:lineRule="auto"/>
        <w:rPr>
          <w:rFonts w:ascii="宋体" w:hAnsi="宋体" w:eastAsia="宋体" w:cs="宋体"/>
          <w:b w:val="0"/>
          <w:color w:val="auto"/>
          <w:sz w:val="21"/>
          <w:szCs w:val="21"/>
        </w:rPr>
      </w:pPr>
      <w:bookmarkStart w:id="15" w:name="_Toc32267"/>
      <w:bookmarkStart w:id="16" w:name="_Toc24648"/>
      <w:bookmarkStart w:id="17" w:name="_Toc15079"/>
      <w:r>
        <w:rPr>
          <w:rFonts w:hint="eastAsia" w:ascii="宋体" w:hAnsi="宋体" w:eastAsia="宋体" w:cs="宋体"/>
          <w:b w:val="0"/>
          <w:color w:val="auto"/>
          <w:sz w:val="21"/>
          <w:szCs w:val="21"/>
        </w:rPr>
        <w:t>三、获取采购文件</w:t>
      </w:r>
      <w:bookmarkEnd w:id="15"/>
      <w:bookmarkEnd w:id="16"/>
      <w:bookmarkEnd w:id="17"/>
    </w:p>
    <w:p>
      <w:pPr>
        <w:spacing w:line="312" w:lineRule="auto"/>
        <w:ind w:firstLine="540"/>
        <w:rPr>
          <w:rFonts w:ascii="宋体" w:hAnsi="宋体" w:cs="宋体"/>
          <w:color w:val="auto"/>
          <w:sz w:val="21"/>
          <w:szCs w:val="21"/>
        </w:rPr>
      </w:pPr>
      <w:r>
        <w:rPr>
          <w:rFonts w:hint="eastAsia" w:ascii="宋体" w:hAnsi="宋体" w:cs="宋体"/>
          <w:color w:val="auto"/>
          <w:sz w:val="21"/>
          <w:szCs w:val="21"/>
        </w:rPr>
        <w:t>时间：</w:t>
      </w:r>
      <w:r>
        <w:rPr>
          <w:rFonts w:hint="eastAsia" w:ascii="宋体" w:hAnsi="宋体" w:cs="宋体"/>
          <w:color w:val="auto"/>
          <w:spacing w:val="14"/>
          <w:sz w:val="21"/>
          <w:szCs w:val="21"/>
        </w:rPr>
        <w:t>2022年6月2</w:t>
      </w:r>
      <w:r>
        <w:rPr>
          <w:rFonts w:hint="eastAsia" w:ascii="宋体" w:hAnsi="宋体" w:cs="宋体"/>
          <w:color w:val="auto"/>
          <w:spacing w:val="14"/>
          <w:sz w:val="21"/>
          <w:szCs w:val="21"/>
          <w:lang w:val="en-US" w:eastAsia="zh-CN"/>
        </w:rPr>
        <w:t>1</w:t>
      </w:r>
      <w:r>
        <w:rPr>
          <w:rFonts w:hint="eastAsia" w:ascii="宋体" w:hAnsi="宋体" w:cs="宋体"/>
          <w:color w:val="auto"/>
          <w:spacing w:val="14"/>
          <w:sz w:val="21"/>
          <w:szCs w:val="21"/>
        </w:rPr>
        <w:t>日至2022年6月2</w:t>
      </w:r>
      <w:r>
        <w:rPr>
          <w:rFonts w:hint="eastAsia" w:ascii="宋体" w:hAnsi="宋体" w:cs="宋体"/>
          <w:color w:val="auto"/>
          <w:spacing w:val="14"/>
          <w:sz w:val="21"/>
          <w:szCs w:val="21"/>
          <w:lang w:val="en-US" w:eastAsia="zh-CN"/>
        </w:rPr>
        <w:t>7</w:t>
      </w:r>
      <w:r>
        <w:rPr>
          <w:rFonts w:hint="eastAsia" w:ascii="宋体" w:hAnsi="宋体" w:cs="宋体"/>
          <w:color w:val="auto"/>
          <w:spacing w:val="14"/>
          <w:sz w:val="21"/>
          <w:szCs w:val="21"/>
        </w:rPr>
        <w:t>日</w:t>
      </w:r>
      <w:r>
        <w:rPr>
          <w:rFonts w:hint="eastAsia" w:ascii="宋体" w:hAnsi="宋体" w:cs="宋体"/>
          <w:color w:val="auto"/>
          <w:spacing w:val="14"/>
          <w:sz w:val="21"/>
          <w:szCs w:val="21"/>
        </w:rPr>
        <w:t>(法定公休日、法定节假日除外)，每日上午9时00分至11时30分，下午13时30分至16时00分</w:t>
      </w:r>
      <w:r>
        <w:rPr>
          <w:rFonts w:hint="eastAsia" w:ascii="宋体" w:hAnsi="宋体" w:cs="宋体"/>
          <w:color w:val="auto"/>
          <w:sz w:val="21"/>
          <w:szCs w:val="21"/>
        </w:rPr>
        <w:t>；</w:t>
      </w:r>
    </w:p>
    <w:p>
      <w:pPr>
        <w:spacing w:line="312" w:lineRule="auto"/>
        <w:ind w:firstLine="540"/>
        <w:rPr>
          <w:rFonts w:ascii="宋体" w:hAnsi="宋体" w:cs="宋体"/>
          <w:color w:val="auto"/>
          <w:sz w:val="21"/>
          <w:szCs w:val="21"/>
        </w:rPr>
      </w:pPr>
      <w:r>
        <w:rPr>
          <w:rFonts w:hint="eastAsia" w:ascii="宋体" w:hAnsi="宋体" w:cs="宋体"/>
          <w:color w:val="auto"/>
          <w:sz w:val="21"/>
          <w:szCs w:val="21"/>
        </w:rPr>
        <w:t>地点：网上获取；</w:t>
      </w:r>
    </w:p>
    <w:p>
      <w:pPr>
        <w:spacing w:line="312" w:lineRule="auto"/>
        <w:ind w:firstLine="540"/>
        <w:rPr>
          <w:rFonts w:ascii="宋体" w:hAnsi="宋体" w:cs="宋体"/>
          <w:color w:val="auto"/>
          <w:sz w:val="21"/>
          <w:szCs w:val="21"/>
        </w:rPr>
      </w:pPr>
      <w:r>
        <w:rPr>
          <w:rFonts w:hint="eastAsia" w:ascii="宋体" w:hAnsi="宋体" w:cs="宋体"/>
          <w:color w:val="auto"/>
          <w:sz w:val="21"/>
          <w:szCs w:val="21"/>
        </w:rPr>
        <w:t>方式：将企业法定代表人授权委托书、被授权人的身份证复印件加盖公章的</w:t>
      </w:r>
      <w:r>
        <w:rPr>
          <w:rFonts w:hint="eastAsia" w:ascii="宋体" w:hAnsi="宋体" w:cs="宋体"/>
          <w:b/>
          <w:bCs/>
          <w:color w:val="auto"/>
          <w:sz w:val="21"/>
          <w:szCs w:val="21"/>
        </w:rPr>
        <w:t>彩色扫描件及被授权人联系电话</w:t>
      </w:r>
      <w:r>
        <w:rPr>
          <w:rFonts w:hint="eastAsia" w:ascii="宋体" w:hAnsi="宋体" w:cs="宋体"/>
          <w:color w:val="auto"/>
          <w:sz w:val="21"/>
          <w:szCs w:val="21"/>
        </w:rPr>
        <w:t>发至采购代理机构邮箱syzb5171@163.com中（邮件主题备注：一标段：东北师范大学2022年校园安全供水系统维修改造工程+公司简称；二标段：东北师范大学2022年综合体育馆变压设备及雨排水等维修改造工程+公司简称）；电子邮件发出后请联系采购代理机构联系人（联系电话：0431-86805171）检查资料的完整性，检查通过后方可递交竞争性磋商文件款并获取竞争性磋商文件，获取竞争性磋商文件后，方可参与本项目。未按上述流程操作造成的损失由供应商自行负责。</w:t>
      </w:r>
    </w:p>
    <w:p>
      <w:pPr>
        <w:spacing w:line="312" w:lineRule="auto"/>
        <w:ind w:firstLine="540"/>
        <w:rPr>
          <w:rFonts w:ascii="宋体" w:hAnsi="宋体" w:cs="宋体"/>
          <w:color w:val="auto"/>
          <w:sz w:val="21"/>
          <w:szCs w:val="21"/>
        </w:rPr>
      </w:pPr>
      <w:r>
        <w:rPr>
          <w:rFonts w:hint="eastAsia" w:ascii="宋体" w:hAnsi="宋体" w:cs="宋体"/>
          <w:color w:val="auto"/>
          <w:sz w:val="21"/>
          <w:szCs w:val="21"/>
        </w:rPr>
        <w:t>售价：一标段：人民币800元</w:t>
      </w:r>
      <w:r>
        <w:rPr>
          <w:rFonts w:hint="eastAsia" w:ascii="宋体" w:hAnsi="宋体" w:cs="宋体"/>
          <w:color w:val="auto"/>
          <w:spacing w:val="14"/>
          <w:sz w:val="21"/>
          <w:szCs w:val="21"/>
        </w:rPr>
        <w:t>；二标段：人民币500元；售后不退。</w:t>
      </w:r>
    </w:p>
    <w:p>
      <w:pPr>
        <w:pStyle w:val="6"/>
        <w:spacing w:line="312" w:lineRule="auto"/>
        <w:rPr>
          <w:rFonts w:ascii="宋体" w:hAnsi="宋体" w:eastAsia="宋体" w:cs="宋体"/>
          <w:b w:val="0"/>
          <w:color w:val="auto"/>
          <w:sz w:val="21"/>
          <w:szCs w:val="21"/>
        </w:rPr>
      </w:pPr>
      <w:bookmarkStart w:id="18" w:name="_Toc35393632"/>
      <w:bookmarkStart w:id="19" w:name="_Toc8513"/>
      <w:bookmarkStart w:id="20" w:name="_Toc35393801"/>
      <w:bookmarkStart w:id="21" w:name="_Toc28359092"/>
      <w:bookmarkStart w:id="22" w:name="_Toc14415"/>
      <w:bookmarkStart w:id="23" w:name="_Toc28359015"/>
      <w:bookmarkStart w:id="24" w:name="_Toc15006"/>
      <w:r>
        <w:rPr>
          <w:rFonts w:hint="eastAsia" w:ascii="宋体" w:hAnsi="宋体" w:eastAsia="宋体" w:cs="宋体"/>
          <w:b w:val="0"/>
          <w:color w:val="auto"/>
          <w:sz w:val="21"/>
          <w:szCs w:val="21"/>
        </w:rPr>
        <w:t>四、响应文件提交</w:t>
      </w:r>
      <w:bookmarkEnd w:id="18"/>
      <w:bookmarkEnd w:id="19"/>
      <w:bookmarkEnd w:id="20"/>
      <w:bookmarkEnd w:id="21"/>
      <w:bookmarkEnd w:id="22"/>
      <w:bookmarkEnd w:id="23"/>
      <w:bookmarkEnd w:id="24"/>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截止时间：</w:t>
      </w:r>
      <w:r>
        <w:rPr>
          <w:rFonts w:hint="eastAsia" w:ascii="宋体" w:hAnsi="宋体" w:cs="宋体"/>
          <w:color w:val="auto"/>
          <w:sz w:val="21"/>
          <w:szCs w:val="21"/>
          <w:u w:val="single"/>
        </w:rPr>
        <w:t>2022年7月2日9点30分</w:t>
      </w:r>
      <w:r>
        <w:rPr>
          <w:rFonts w:hint="eastAsia" w:ascii="宋体" w:hAnsi="宋体" w:cs="宋体"/>
          <w:bCs/>
          <w:color w:val="auto"/>
          <w:sz w:val="21"/>
          <w:szCs w:val="21"/>
        </w:rPr>
        <w:t>（北京时间）；</w:t>
      </w:r>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地点：</w:t>
      </w:r>
      <w:r>
        <w:rPr>
          <w:rFonts w:hint="eastAsia" w:ascii="宋体" w:hAnsi="宋体" w:cs="宋体"/>
          <w:color w:val="auto"/>
          <w:spacing w:val="14"/>
          <w:sz w:val="21"/>
          <w:szCs w:val="21"/>
          <w:lang w:val="zh-CN"/>
        </w:rPr>
        <w:t>长春市春城大街789号吉林省晟裕工程咨询有限公司二楼</w:t>
      </w:r>
      <w:r>
        <w:rPr>
          <w:rFonts w:hint="eastAsia" w:ascii="宋体" w:hAnsi="宋体" w:cs="宋体"/>
          <w:color w:val="auto"/>
          <w:spacing w:val="14"/>
          <w:sz w:val="21"/>
          <w:szCs w:val="21"/>
        </w:rPr>
        <w:t>会议室。</w:t>
      </w:r>
    </w:p>
    <w:p>
      <w:pPr>
        <w:pStyle w:val="6"/>
        <w:spacing w:line="312" w:lineRule="auto"/>
        <w:rPr>
          <w:rFonts w:ascii="宋体" w:hAnsi="宋体" w:eastAsia="宋体" w:cs="宋体"/>
          <w:b w:val="0"/>
          <w:color w:val="auto"/>
          <w:sz w:val="21"/>
          <w:szCs w:val="21"/>
        </w:rPr>
      </w:pPr>
      <w:bookmarkStart w:id="25" w:name="_Toc30149"/>
      <w:bookmarkStart w:id="26" w:name="_Toc28359016"/>
      <w:bookmarkStart w:id="27" w:name="_Toc29390"/>
      <w:bookmarkStart w:id="28" w:name="_Toc35393802"/>
      <w:bookmarkStart w:id="29" w:name="_Toc35393633"/>
      <w:bookmarkStart w:id="30" w:name="_Toc28359093"/>
      <w:bookmarkStart w:id="31" w:name="_Toc31324"/>
      <w:r>
        <w:rPr>
          <w:rFonts w:hint="eastAsia" w:ascii="宋体" w:hAnsi="宋体" w:eastAsia="宋体" w:cs="宋体"/>
          <w:b w:val="0"/>
          <w:color w:val="auto"/>
          <w:sz w:val="21"/>
          <w:szCs w:val="21"/>
        </w:rPr>
        <w:t>五、开启</w:t>
      </w:r>
      <w:bookmarkEnd w:id="25"/>
      <w:bookmarkEnd w:id="26"/>
      <w:bookmarkEnd w:id="27"/>
      <w:bookmarkEnd w:id="28"/>
      <w:bookmarkEnd w:id="29"/>
      <w:bookmarkEnd w:id="30"/>
      <w:bookmarkEnd w:id="31"/>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时间：</w:t>
      </w:r>
      <w:r>
        <w:rPr>
          <w:rFonts w:hint="eastAsia" w:ascii="宋体" w:hAnsi="宋体" w:cs="宋体"/>
          <w:color w:val="auto"/>
          <w:sz w:val="21"/>
          <w:szCs w:val="21"/>
          <w:u w:val="single"/>
        </w:rPr>
        <w:t>2022年7月2日9点30分</w:t>
      </w:r>
      <w:r>
        <w:rPr>
          <w:rFonts w:hint="eastAsia" w:ascii="宋体" w:hAnsi="宋体" w:cs="宋体"/>
          <w:bCs/>
          <w:color w:val="auto"/>
          <w:sz w:val="21"/>
          <w:szCs w:val="21"/>
        </w:rPr>
        <w:t>（北京时间）；</w:t>
      </w:r>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地点：</w:t>
      </w:r>
      <w:r>
        <w:rPr>
          <w:rFonts w:hint="eastAsia" w:ascii="宋体" w:hAnsi="宋体" w:cs="宋体"/>
          <w:color w:val="auto"/>
          <w:spacing w:val="14"/>
          <w:sz w:val="21"/>
          <w:szCs w:val="21"/>
          <w:lang w:val="zh-CN"/>
        </w:rPr>
        <w:t>长春市春城大街789号吉林省晟裕工程咨询有限公司二楼</w:t>
      </w:r>
      <w:r>
        <w:rPr>
          <w:rFonts w:hint="eastAsia" w:ascii="宋体" w:hAnsi="宋体" w:cs="宋体"/>
          <w:color w:val="auto"/>
          <w:spacing w:val="14"/>
          <w:sz w:val="21"/>
          <w:szCs w:val="21"/>
        </w:rPr>
        <w:t>会议室。</w:t>
      </w:r>
    </w:p>
    <w:p>
      <w:pPr>
        <w:pStyle w:val="6"/>
        <w:spacing w:line="312" w:lineRule="auto"/>
        <w:rPr>
          <w:rFonts w:ascii="宋体" w:hAnsi="宋体" w:eastAsia="宋体" w:cs="宋体"/>
          <w:b w:val="0"/>
          <w:color w:val="auto"/>
          <w:sz w:val="21"/>
          <w:szCs w:val="21"/>
        </w:rPr>
      </w:pPr>
      <w:bookmarkStart w:id="32" w:name="_Toc1287"/>
      <w:bookmarkStart w:id="33" w:name="_Toc28359094"/>
      <w:bookmarkStart w:id="34" w:name="_Toc2609"/>
      <w:bookmarkStart w:id="35" w:name="_Toc28359017"/>
      <w:bookmarkStart w:id="36" w:name="_Toc24367"/>
      <w:bookmarkStart w:id="37" w:name="_Toc35393634"/>
      <w:bookmarkStart w:id="38" w:name="_Toc35393803"/>
      <w:r>
        <w:rPr>
          <w:rFonts w:hint="eastAsia" w:ascii="宋体" w:hAnsi="宋体" w:eastAsia="宋体" w:cs="宋体"/>
          <w:b w:val="0"/>
          <w:color w:val="auto"/>
          <w:sz w:val="21"/>
          <w:szCs w:val="21"/>
        </w:rPr>
        <w:t>六、公告期限</w:t>
      </w:r>
      <w:bookmarkEnd w:id="32"/>
      <w:bookmarkEnd w:id="33"/>
      <w:bookmarkEnd w:id="34"/>
      <w:bookmarkEnd w:id="35"/>
      <w:bookmarkEnd w:id="36"/>
      <w:bookmarkEnd w:id="37"/>
      <w:bookmarkEnd w:id="38"/>
    </w:p>
    <w:p>
      <w:pPr>
        <w:spacing w:line="312"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自本公告发布之日起5个工作日。</w:t>
      </w:r>
    </w:p>
    <w:p>
      <w:pPr>
        <w:pStyle w:val="6"/>
        <w:numPr>
          <w:ilvl w:val="0"/>
          <w:numId w:val="2"/>
        </w:numPr>
        <w:spacing w:line="312" w:lineRule="auto"/>
        <w:rPr>
          <w:rFonts w:ascii="宋体" w:hAnsi="宋体" w:eastAsia="宋体" w:cs="宋体"/>
          <w:b w:val="0"/>
          <w:color w:val="auto"/>
          <w:sz w:val="21"/>
          <w:szCs w:val="21"/>
        </w:rPr>
      </w:pPr>
      <w:bookmarkStart w:id="39" w:name="_Toc35393804"/>
      <w:bookmarkStart w:id="40" w:name="_Toc35393635"/>
      <w:bookmarkStart w:id="41" w:name="_Toc11501"/>
      <w:bookmarkStart w:id="42" w:name="_Toc30527"/>
      <w:bookmarkStart w:id="43" w:name="_Toc23795"/>
      <w:r>
        <w:rPr>
          <w:rFonts w:hint="eastAsia" w:ascii="宋体" w:hAnsi="宋体" w:eastAsia="宋体" w:cs="宋体"/>
          <w:b w:val="0"/>
          <w:color w:val="auto"/>
          <w:sz w:val="21"/>
          <w:szCs w:val="21"/>
        </w:rPr>
        <w:t>其他补充事宜</w:t>
      </w:r>
      <w:bookmarkEnd w:id="39"/>
      <w:bookmarkEnd w:id="40"/>
      <w:r>
        <w:rPr>
          <w:rFonts w:hint="eastAsia" w:ascii="宋体" w:hAnsi="宋体" w:eastAsia="宋体" w:cs="宋体"/>
          <w:b w:val="0"/>
          <w:color w:val="auto"/>
          <w:sz w:val="21"/>
          <w:szCs w:val="21"/>
        </w:rPr>
        <w:t>：</w:t>
      </w:r>
      <w:bookmarkEnd w:id="41"/>
      <w:bookmarkEnd w:id="42"/>
      <w:bookmarkEnd w:id="43"/>
    </w:p>
    <w:p>
      <w:pPr>
        <w:pStyle w:val="6"/>
        <w:spacing w:line="312" w:lineRule="auto"/>
        <w:rPr>
          <w:rStyle w:val="62"/>
          <w:rFonts w:ascii="宋体" w:hAnsi="宋体" w:eastAsia="宋体" w:cs="宋体"/>
          <w:b w:val="0"/>
          <w:color w:val="auto"/>
          <w:spacing w:val="14"/>
          <w:sz w:val="21"/>
          <w:szCs w:val="21"/>
        </w:rPr>
      </w:pPr>
      <w:bookmarkStart w:id="44" w:name="_Toc8907"/>
      <w:bookmarkStart w:id="45" w:name="_Toc28283"/>
      <w:bookmarkStart w:id="46" w:name="_Toc868"/>
      <w:r>
        <w:rPr>
          <w:rStyle w:val="62"/>
          <w:rFonts w:hint="eastAsia" w:ascii="宋体" w:hAnsi="宋体" w:eastAsia="宋体" w:cs="宋体"/>
          <w:b w:val="0"/>
          <w:color w:val="auto"/>
          <w:spacing w:val="14"/>
          <w:sz w:val="21"/>
          <w:szCs w:val="21"/>
        </w:rPr>
        <w:t>1.发布公告的媒介：本次竞争性磋商公告在中国政府采购网、中国招标投标公共服务平台、东北师范大学政府采购与招标管理中心网站上发布。</w:t>
      </w:r>
      <w:bookmarkEnd w:id="44"/>
      <w:bookmarkEnd w:id="45"/>
      <w:bookmarkEnd w:id="46"/>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rPr>
      </w:pPr>
      <w:r>
        <w:rPr>
          <w:rStyle w:val="62"/>
          <w:rFonts w:hint="eastAsia" w:cs="宋体"/>
          <w:b w:val="0"/>
          <w:color w:val="auto"/>
          <w:spacing w:val="14"/>
          <w:sz w:val="21"/>
          <w:szCs w:val="21"/>
        </w:rPr>
        <w:t>2.磋商保证金：</w:t>
      </w:r>
      <w:r>
        <w:rPr>
          <w:rFonts w:hint="eastAsia" w:cs="宋体"/>
          <w:color w:val="auto"/>
          <w:spacing w:val="14"/>
          <w:sz w:val="21"/>
          <w:szCs w:val="21"/>
        </w:rPr>
        <w:t>供应商在响应文件递交截止时间前，应按照竞争性磋商文件规定提交磋商保证金。</w:t>
      </w:r>
    </w:p>
    <w:p>
      <w:pPr>
        <w:pStyle w:val="6"/>
        <w:spacing w:line="312" w:lineRule="auto"/>
        <w:rPr>
          <w:rFonts w:ascii="宋体" w:hAnsi="宋体" w:eastAsia="宋体" w:cs="宋体"/>
          <w:b w:val="0"/>
          <w:color w:val="auto"/>
          <w:sz w:val="21"/>
          <w:szCs w:val="21"/>
        </w:rPr>
      </w:pPr>
      <w:bookmarkStart w:id="47" w:name="_Toc35393805"/>
      <w:bookmarkStart w:id="48" w:name="_Toc16195"/>
      <w:bookmarkStart w:id="49" w:name="_Toc3160"/>
      <w:bookmarkStart w:id="50" w:name="_Toc10791"/>
      <w:bookmarkStart w:id="51" w:name="_Toc28359095"/>
      <w:bookmarkStart w:id="52" w:name="_Toc35393636"/>
      <w:bookmarkStart w:id="53" w:name="_Toc28359018"/>
      <w:r>
        <w:rPr>
          <w:rFonts w:hint="eastAsia" w:ascii="宋体" w:hAnsi="宋体" w:eastAsia="宋体" w:cs="宋体"/>
          <w:b w:val="0"/>
          <w:color w:val="auto"/>
          <w:sz w:val="21"/>
          <w:szCs w:val="21"/>
        </w:rPr>
        <w:t>八、凡对本次采购提出询问，请按以下方式联系。</w:t>
      </w:r>
      <w:bookmarkEnd w:id="47"/>
      <w:bookmarkEnd w:id="48"/>
      <w:bookmarkEnd w:id="49"/>
      <w:bookmarkEnd w:id="50"/>
      <w:bookmarkEnd w:id="51"/>
      <w:bookmarkEnd w:id="52"/>
      <w:bookmarkEnd w:id="53"/>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rPr>
      </w:pPr>
      <w:bookmarkStart w:id="54" w:name="_Toc28359021"/>
      <w:bookmarkStart w:id="55" w:name="_Toc35393639"/>
      <w:bookmarkStart w:id="56" w:name="_Toc35393808"/>
      <w:bookmarkStart w:id="57" w:name="_Toc28359098"/>
      <w:r>
        <w:rPr>
          <w:rFonts w:hint="eastAsia" w:cs="宋体"/>
          <w:color w:val="auto"/>
          <w:spacing w:val="14"/>
          <w:sz w:val="21"/>
          <w:szCs w:val="21"/>
        </w:rPr>
        <w:t>1.采购人：东北师范大学</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rPr>
      </w:pPr>
      <w:r>
        <w:rPr>
          <w:rFonts w:hint="eastAsia" w:cs="宋体"/>
          <w:color w:val="auto"/>
          <w:spacing w:val="14"/>
          <w:sz w:val="21"/>
          <w:szCs w:val="21"/>
        </w:rPr>
        <w:t>地 址：吉林省长春市人民大街5268号</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lang w:val="zh-CN"/>
        </w:rPr>
      </w:pPr>
      <w:r>
        <w:rPr>
          <w:rFonts w:hint="eastAsia" w:cs="宋体"/>
          <w:color w:val="auto"/>
          <w:spacing w:val="14"/>
          <w:sz w:val="21"/>
          <w:szCs w:val="21"/>
          <w:lang w:val="zh-CN"/>
        </w:rPr>
        <w:t>联系人：</w:t>
      </w:r>
      <w:r>
        <w:rPr>
          <w:rFonts w:hint="eastAsia" w:cs="宋体"/>
          <w:color w:val="auto"/>
          <w:spacing w:val="14"/>
          <w:sz w:val="21"/>
          <w:szCs w:val="21"/>
        </w:rPr>
        <w:t>陈老师</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lang w:val="zh-CN"/>
        </w:rPr>
      </w:pPr>
      <w:r>
        <w:rPr>
          <w:rFonts w:hint="eastAsia" w:cs="宋体"/>
          <w:color w:val="auto"/>
          <w:spacing w:val="14"/>
          <w:sz w:val="21"/>
          <w:szCs w:val="21"/>
          <w:lang w:val="zh-CN"/>
        </w:rPr>
        <w:t>联系电话：</w:t>
      </w:r>
      <w:r>
        <w:rPr>
          <w:rFonts w:hint="eastAsia" w:cs="宋体"/>
          <w:color w:val="auto"/>
          <w:spacing w:val="14"/>
          <w:sz w:val="21"/>
          <w:szCs w:val="21"/>
        </w:rPr>
        <w:t>0431-85099072</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2. 采购代理机构：吉林省晟裕工程咨询有限公司</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地址：长春市春城大街789号</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联系人：谭爽</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联系电话：0431-81727843、81759572</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rPr>
      </w:pPr>
      <w:r>
        <w:rPr>
          <w:rFonts w:hint="eastAsia" w:cs="宋体"/>
          <w:color w:val="auto"/>
          <w:spacing w:val="14"/>
          <w:sz w:val="21"/>
          <w:szCs w:val="21"/>
        </w:rPr>
        <w:t>3.项目联系方式</w:t>
      </w:r>
      <w:bookmarkEnd w:id="54"/>
      <w:bookmarkEnd w:id="55"/>
      <w:bookmarkEnd w:id="56"/>
      <w:bookmarkEnd w:id="57"/>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联系人：李老师、孙老师</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联系电话：0431-84536022</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z w:val="21"/>
          <w:szCs w:val="21"/>
        </w:rPr>
      </w:pPr>
      <w:bookmarkStart w:id="58" w:name="_Toc2302"/>
      <w:bookmarkStart w:id="59" w:name="_Toc32291"/>
      <w:r>
        <w:rPr>
          <w:rFonts w:hint="eastAsia" w:cs="宋体"/>
          <w:color w:val="auto"/>
          <w:sz w:val="21"/>
          <w:szCs w:val="21"/>
        </w:rPr>
        <w:t>九、</w:t>
      </w:r>
      <w:r>
        <w:rPr>
          <w:rFonts w:hint="eastAsia" w:cs="宋体"/>
          <w:color w:val="auto"/>
          <w:sz w:val="21"/>
          <w:szCs w:val="21"/>
          <w:lang w:val="zh-CN"/>
        </w:rPr>
        <w:t>扫黑除恶</w:t>
      </w:r>
      <w:bookmarkEnd w:id="58"/>
      <w:bookmarkEnd w:id="59"/>
    </w:p>
    <w:p>
      <w:pPr>
        <w:pStyle w:val="52"/>
        <w:shd w:val="clear" w:color="auto" w:fill="FFFFFF"/>
        <w:spacing w:beforeAutospacing="0" w:afterAutospacing="0" w:line="312" w:lineRule="auto"/>
        <w:ind w:firstLine="447" w:firstLineChars="213"/>
        <w:rPr>
          <w:rFonts w:cs="宋体"/>
          <w:color w:val="auto"/>
          <w:sz w:val="21"/>
          <w:szCs w:val="21"/>
        </w:rPr>
      </w:pPr>
      <w:r>
        <w:rPr>
          <w:rFonts w:hint="eastAsia" w:cs="宋体"/>
          <w:color w:val="auto"/>
          <w:sz w:val="21"/>
          <w:szCs w:val="21"/>
        </w:rPr>
        <w:t>东北师范大学政府采购与招标管理中心为落实全国扫黑除恶专项斗争工作，查处欺行霸市、强买强卖、恶意竞标、强揽工程等招标采购过程中出现的黑恶行为，面向全社会征集举报线索，举报方式如下：</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1．通过东北师范大学扫黑除恶领导小组办公室（保卫处304室）接待师生举报；</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2．通过投寄举报信件至专用举报箱举报（举报箱分别设置在本部校区西门与净月校区雕塑门）；</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3．通过电话举报（0431-85099946、0431-85099208）；</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4．通过电子邮箱举报（bwc@nenu.edu.cn）；</w:t>
      </w:r>
    </w:p>
    <w:p>
      <w:pPr>
        <w:rPr>
          <w:rFonts w:hint="eastAsia" w:ascii="宋体" w:hAnsi="宋体" w:cs="宋体"/>
          <w:b/>
          <w:bCs/>
          <w:color w:val="auto"/>
          <w:sz w:val="32"/>
          <w:szCs w:val="32"/>
        </w:rPr>
      </w:pPr>
      <w:r>
        <w:rPr>
          <w:rFonts w:hint="eastAsia" w:cs="宋体"/>
          <w:color w:val="auto"/>
          <w:sz w:val="21"/>
          <w:szCs w:val="21"/>
        </w:rPr>
        <w:t>5．通过东北师范大学“安全小哨兵”网络平台举报。</w:t>
      </w:r>
      <w:r>
        <w:rPr>
          <w:rFonts w:hint="eastAsia" w:ascii="宋体" w:hAnsi="宋体" w:cs="宋体"/>
          <w:b/>
          <w:bCs/>
          <w:color w:val="auto"/>
          <w:sz w:val="32"/>
          <w:szCs w:val="32"/>
        </w:rPr>
        <w:br w:type="page"/>
      </w:r>
    </w:p>
    <w:p>
      <w:pPr>
        <w:spacing w:line="312" w:lineRule="auto"/>
        <w:jc w:val="center"/>
        <w:outlineLvl w:val="0"/>
        <w:rPr>
          <w:rFonts w:ascii="宋体" w:hAnsi="宋体" w:cs="宋体"/>
          <w:b/>
          <w:bCs/>
          <w:color w:val="auto"/>
          <w:sz w:val="21"/>
          <w:szCs w:val="21"/>
        </w:rPr>
      </w:pPr>
      <w:r>
        <w:rPr>
          <w:rFonts w:hint="eastAsia" w:ascii="宋体" w:hAnsi="宋体" w:cs="宋体"/>
          <w:b/>
          <w:bCs/>
          <w:color w:val="auto"/>
          <w:sz w:val="32"/>
          <w:szCs w:val="32"/>
        </w:rPr>
        <w:t>第二章 供应商须知</w:t>
      </w:r>
      <w:bookmarkEnd w:id="5"/>
      <w:bookmarkEnd w:id="6"/>
      <w:bookmarkEnd w:id="7"/>
    </w:p>
    <w:p>
      <w:pPr>
        <w:spacing w:line="312" w:lineRule="auto"/>
        <w:ind w:left="120"/>
        <w:jc w:val="center"/>
        <w:rPr>
          <w:rFonts w:ascii="宋体" w:hAnsi="宋体" w:cs="宋体"/>
          <w:b/>
          <w:color w:val="auto"/>
          <w:szCs w:val="28"/>
        </w:rPr>
      </w:pPr>
      <w:bookmarkStart w:id="60" w:name="_Toc31046_WPSOffice_Level2"/>
      <w:bookmarkStart w:id="61" w:name="_Toc31519_WPSOffice_Level2"/>
      <w:bookmarkStart w:id="62" w:name="_Toc31862_WPSOffice_Level2"/>
      <w:r>
        <w:rPr>
          <w:rFonts w:hint="eastAsia" w:ascii="宋体" w:hAnsi="宋体" w:cs="宋体"/>
          <w:b/>
          <w:color w:val="auto"/>
          <w:szCs w:val="28"/>
        </w:rPr>
        <w:t>供应商须知前附表</w:t>
      </w:r>
      <w:bookmarkEnd w:id="60"/>
      <w:bookmarkEnd w:id="61"/>
      <w:bookmarkEnd w:id="62"/>
    </w:p>
    <w:tbl>
      <w:tblPr>
        <w:tblStyle w:val="58"/>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074"/>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
                <w:color w:val="auto"/>
                <w:sz w:val="21"/>
                <w:szCs w:val="21"/>
              </w:rPr>
            </w:pPr>
            <w:r>
              <w:rPr>
                <w:rFonts w:hint="eastAsia" w:ascii="宋体" w:hAnsi="宋体" w:cs="宋体"/>
                <w:b/>
                <w:color w:val="auto"/>
                <w:sz w:val="21"/>
                <w:szCs w:val="21"/>
              </w:rPr>
              <w:t>条款号</w:t>
            </w:r>
          </w:p>
        </w:tc>
        <w:tc>
          <w:tcPr>
            <w:tcW w:w="2074" w:type="dxa"/>
            <w:vAlign w:val="center"/>
          </w:tcPr>
          <w:p>
            <w:pPr>
              <w:spacing w:line="312" w:lineRule="auto"/>
              <w:jc w:val="center"/>
              <w:rPr>
                <w:rFonts w:ascii="宋体" w:hAnsi="宋体" w:cs="宋体"/>
                <w:b/>
                <w:color w:val="auto"/>
                <w:sz w:val="21"/>
                <w:szCs w:val="21"/>
              </w:rPr>
            </w:pPr>
            <w:r>
              <w:rPr>
                <w:rFonts w:hint="eastAsia" w:ascii="宋体" w:hAnsi="宋体" w:cs="宋体"/>
                <w:b/>
                <w:color w:val="auto"/>
                <w:sz w:val="21"/>
                <w:szCs w:val="21"/>
              </w:rPr>
              <w:t>条款名称</w:t>
            </w:r>
          </w:p>
        </w:tc>
        <w:tc>
          <w:tcPr>
            <w:tcW w:w="6988" w:type="dxa"/>
          </w:tcPr>
          <w:p>
            <w:pPr>
              <w:spacing w:line="312" w:lineRule="auto"/>
              <w:jc w:val="center"/>
              <w:rPr>
                <w:rFonts w:ascii="宋体" w:hAnsi="宋体" w:cs="宋体"/>
                <w:b/>
                <w:color w:val="auto"/>
                <w:sz w:val="21"/>
                <w:szCs w:val="21"/>
              </w:rPr>
            </w:pPr>
            <w:r>
              <w:rPr>
                <w:rFonts w:hint="eastAsia" w:ascii="宋体" w:hAnsi="宋体" w:cs="宋体"/>
                <w:b/>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1.1.2</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采购人</w:t>
            </w:r>
          </w:p>
        </w:tc>
        <w:tc>
          <w:tcPr>
            <w:tcW w:w="6988" w:type="dxa"/>
            <w:vAlign w:val="center"/>
          </w:tcPr>
          <w:p>
            <w:pPr>
              <w:spacing w:line="312" w:lineRule="auto"/>
              <w:rPr>
                <w:rFonts w:ascii="宋体" w:hAnsi="宋体" w:cs="宋体"/>
                <w:color w:val="auto"/>
                <w:sz w:val="21"/>
                <w:szCs w:val="21"/>
              </w:rPr>
            </w:pPr>
            <w:r>
              <w:rPr>
                <w:rFonts w:hint="eastAsia" w:ascii="宋体" w:hAnsi="宋体" w:cs="宋体"/>
                <w:color w:val="auto"/>
                <w:sz w:val="21"/>
                <w:szCs w:val="21"/>
              </w:rPr>
              <w:t>采购人：东北师范大学</w:t>
            </w:r>
          </w:p>
          <w:p>
            <w:pPr>
              <w:spacing w:line="312" w:lineRule="auto"/>
              <w:rPr>
                <w:rFonts w:ascii="宋体" w:hAnsi="宋体" w:cs="宋体"/>
                <w:color w:val="auto"/>
                <w:sz w:val="21"/>
                <w:szCs w:val="21"/>
              </w:rPr>
            </w:pPr>
            <w:r>
              <w:rPr>
                <w:rFonts w:hint="eastAsia" w:ascii="宋体" w:hAnsi="宋体" w:cs="宋体"/>
                <w:color w:val="auto"/>
                <w:sz w:val="21"/>
                <w:szCs w:val="21"/>
              </w:rPr>
              <w:t>地 址：吉林省长春市人民大街5268号</w:t>
            </w:r>
          </w:p>
          <w:p>
            <w:pPr>
              <w:spacing w:line="312" w:lineRule="auto"/>
              <w:rPr>
                <w:rFonts w:ascii="宋体" w:hAnsi="宋体" w:cs="宋体"/>
                <w:color w:val="auto"/>
                <w:sz w:val="21"/>
                <w:szCs w:val="21"/>
              </w:rPr>
            </w:pPr>
            <w:r>
              <w:rPr>
                <w:rFonts w:hint="eastAsia" w:ascii="宋体" w:hAnsi="宋体" w:cs="宋体"/>
                <w:color w:val="auto"/>
                <w:sz w:val="21"/>
                <w:szCs w:val="21"/>
              </w:rPr>
              <w:t>联系人：陈老师</w:t>
            </w:r>
          </w:p>
          <w:p>
            <w:pPr>
              <w:spacing w:line="312" w:lineRule="auto"/>
              <w:rPr>
                <w:rFonts w:ascii="宋体" w:hAnsi="宋体" w:cs="宋体"/>
                <w:color w:val="auto"/>
                <w:sz w:val="21"/>
                <w:szCs w:val="21"/>
              </w:rPr>
            </w:pPr>
            <w:r>
              <w:rPr>
                <w:rFonts w:hint="eastAsia" w:ascii="宋体" w:hAnsi="宋体" w:cs="宋体"/>
                <w:color w:val="auto"/>
                <w:sz w:val="21"/>
                <w:szCs w:val="21"/>
              </w:rPr>
              <w:t xml:space="preserve">联系电话：0431-85099072 </w:t>
            </w:r>
          </w:p>
          <w:p>
            <w:pPr>
              <w:spacing w:line="312" w:lineRule="auto"/>
              <w:rPr>
                <w:rFonts w:ascii="宋体" w:hAnsi="宋体" w:cs="宋体"/>
                <w:color w:val="auto"/>
                <w:spacing w:val="14"/>
                <w:sz w:val="21"/>
                <w:szCs w:val="21"/>
              </w:rPr>
            </w:pPr>
            <w:r>
              <w:rPr>
                <w:rFonts w:hint="eastAsia" w:ascii="宋体" w:hAnsi="宋体" w:cs="宋体"/>
                <w:color w:val="auto"/>
                <w:spacing w:val="14"/>
                <w:sz w:val="21"/>
                <w:szCs w:val="21"/>
              </w:rPr>
              <w:t>项目联系人：李老师、孙老师</w:t>
            </w:r>
          </w:p>
          <w:p>
            <w:pPr>
              <w:spacing w:line="312" w:lineRule="auto"/>
              <w:rPr>
                <w:rFonts w:ascii="宋体" w:hAnsi="宋体" w:cs="宋体"/>
                <w:color w:val="auto"/>
                <w:sz w:val="21"/>
                <w:szCs w:val="21"/>
              </w:rPr>
            </w:pPr>
            <w:r>
              <w:rPr>
                <w:rFonts w:hint="eastAsia" w:ascii="宋体" w:hAnsi="宋体" w:cs="宋体"/>
                <w:color w:val="auto"/>
                <w:spacing w:val="14"/>
                <w:sz w:val="21"/>
                <w:szCs w:val="21"/>
              </w:rPr>
              <w:t xml:space="preserve">联系电话：0431-84536022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1.1.3</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采购代理机构</w:t>
            </w:r>
          </w:p>
        </w:tc>
        <w:tc>
          <w:tcPr>
            <w:tcW w:w="6988" w:type="dxa"/>
            <w:vAlign w:val="center"/>
          </w:tcPr>
          <w:p>
            <w:pPr>
              <w:spacing w:line="312" w:lineRule="auto"/>
              <w:rPr>
                <w:rFonts w:ascii="宋体" w:hAnsi="宋体" w:cs="宋体"/>
                <w:color w:val="auto"/>
                <w:sz w:val="21"/>
                <w:szCs w:val="21"/>
              </w:rPr>
            </w:pPr>
            <w:r>
              <w:rPr>
                <w:rFonts w:hint="eastAsia" w:ascii="宋体" w:hAnsi="宋体" w:cs="宋体"/>
                <w:color w:val="auto"/>
                <w:sz w:val="21"/>
                <w:szCs w:val="21"/>
              </w:rPr>
              <w:t>采购代理机构：吉林省晟裕工程咨询有限公司</w:t>
            </w:r>
          </w:p>
          <w:p>
            <w:pPr>
              <w:spacing w:line="312" w:lineRule="auto"/>
              <w:rPr>
                <w:rFonts w:ascii="宋体" w:hAnsi="宋体" w:cs="宋体"/>
                <w:color w:val="auto"/>
                <w:sz w:val="21"/>
                <w:szCs w:val="21"/>
              </w:rPr>
            </w:pPr>
            <w:r>
              <w:rPr>
                <w:rFonts w:hint="eastAsia" w:ascii="宋体" w:hAnsi="宋体" w:cs="宋体"/>
                <w:color w:val="auto"/>
                <w:sz w:val="21"/>
                <w:szCs w:val="21"/>
              </w:rPr>
              <w:t>地址：长春市春城大街789号</w:t>
            </w:r>
          </w:p>
          <w:p>
            <w:pPr>
              <w:spacing w:line="312" w:lineRule="auto"/>
              <w:rPr>
                <w:rFonts w:ascii="宋体" w:hAnsi="宋体" w:cs="宋体"/>
                <w:color w:val="auto"/>
                <w:sz w:val="21"/>
                <w:szCs w:val="21"/>
              </w:rPr>
            </w:pPr>
            <w:r>
              <w:rPr>
                <w:rFonts w:hint="eastAsia" w:ascii="宋体" w:hAnsi="宋体" w:cs="宋体"/>
                <w:color w:val="auto"/>
                <w:sz w:val="21"/>
                <w:szCs w:val="21"/>
              </w:rPr>
              <w:t>联系人：谭爽</w:t>
            </w:r>
          </w:p>
          <w:p>
            <w:pPr>
              <w:spacing w:line="312" w:lineRule="auto"/>
              <w:rPr>
                <w:rFonts w:ascii="宋体" w:hAnsi="宋体" w:cs="宋体"/>
                <w:color w:val="auto"/>
                <w:sz w:val="21"/>
                <w:szCs w:val="21"/>
              </w:rPr>
            </w:pPr>
            <w:r>
              <w:rPr>
                <w:rFonts w:hint="eastAsia" w:ascii="宋体" w:hAnsi="宋体" w:cs="宋体"/>
                <w:color w:val="auto"/>
                <w:sz w:val="21"/>
                <w:szCs w:val="21"/>
              </w:rPr>
              <w:t>联系电话：0431-81727843、81759572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1.1.4</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项目名称及编号</w:t>
            </w:r>
          </w:p>
        </w:tc>
        <w:tc>
          <w:tcPr>
            <w:tcW w:w="6988" w:type="dxa"/>
            <w:vAlign w:val="center"/>
          </w:tcPr>
          <w:p>
            <w:pPr>
              <w:adjustRightInd w:val="0"/>
              <w:snapToGrid w:val="0"/>
              <w:spacing w:before="46" w:beforeLines="15" w:line="312" w:lineRule="auto"/>
              <w:rPr>
                <w:rFonts w:ascii="宋体" w:hAnsi="宋体" w:cs="宋体"/>
                <w:color w:val="auto"/>
                <w:lang w:val="zh-CN"/>
              </w:rPr>
            </w:pPr>
            <w:r>
              <w:rPr>
                <w:rFonts w:hint="eastAsia" w:ascii="宋体" w:hAnsi="宋体" w:cs="宋体"/>
                <w:color w:val="auto"/>
                <w:sz w:val="21"/>
                <w:szCs w:val="21"/>
                <w:lang w:val="zh-CN"/>
              </w:rPr>
              <w:t>项目名称：</w:t>
            </w:r>
            <w:r>
              <w:rPr>
                <w:rFonts w:hint="eastAsia" w:ascii="宋体" w:hAnsi="宋体" w:cs="宋体"/>
                <w:color w:val="auto"/>
                <w:sz w:val="21"/>
                <w:szCs w:val="21"/>
              </w:rPr>
              <w:t xml:space="preserve">东北师范大学2022年综合体育馆变压设备及雨排水等维修改造工程  </w:t>
            </w:r>
          </w:p>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lang w:val="zh-CN"/>
              </w:rPr>
              <w:t>项目编号：</w:t>
            </w:r>
            <w:r>
              <w:rPr>
                <w:rFonts w:hint="eastAsia" w:ascii="宋体" w:hAnsi="宋体" w:cs="宋体"/>
                <w:color w:val="auto"/>
                <w:sz w:val="21"/>
                <w:szCs w:val="21"/>
              </w:rPr>
              <w:t>SYZX2022-080（2）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1.2.1</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资金落实情况</w:t>
            </w:r>
          </w:p>
        </w:tc>
        <w:tc>
          <w:tcPr>
            <w:tcW w:w="6988" w:type="dxa"/>
            <w:vAlign w:val="center"/>
          </w:tcPr>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1.3.1</w:t>
            </w:r>
          </w:p>
        </w:tc>
        <w:tc>
          <w:tcPr>
            <w:tcW w:w="2074" w:type="dxa"/>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采购范围</w:t>
            </w:r>
          </w:p>
        </w:tc>
        <w:tc>
          <w:tcPr>
            <w:tcW w:w="6988" w:type="dxa"/>
            <w:vAlign w:val="center"/>
          </w:tcPr>
          <w:p>
            <w:pPr>
              <w:spacing w:line="312" w:lineRule="auto"/>
              <w:rPr>
                <w:rFonts w:ascii="宋体" w:hAnsi="宋体" w:cs="宋体"/>
                <w:color w:val="auto"/>
                <w:sz w:val="21"/>
                <w:szCs w:val="21"/>
              </w:rPr>
            </w:pPr>
            <w:r>
              <w:rPr>
                <w:rFonts w:hint="eastAsia" w:ascii="宋体" w:hAnsi="宋体" w:cs="宋体"/>
                <w:color w:val="auto"/>
                <w:sz w:val="21"/>
                <w:szCs w:val="21"/>
              </w:rPr>
              <w:t>①综合体育馆雨排水系统维修改造；②2台高压环网柜、4台箱式变压器高压柜更换；③综合体育馆通风管道维修改造；</w:t>
            </w:r>
          </w:p>
          <w:p>
            <w:pPr>
              <w:spacing w:line="312" w:lineRule="auto"/>
              <w:rPr>
                <w:rFonts w:ascii="宋体" w:hAnsi="宋体" w:cs="宋体"/>
                <w:bCs/>
                <w:color w:val="auto"/>
                <w:sz w:val="21"/>
                <w:szCs w:val="21"/>
              </w:rPr>
            </w:pPr>
            <w:r>
              <w:rPr>
                <w:rFonts w:hint="eastAsia" w:ascii="宋体" w:hAnsi="宋体" w:cs="宋体"/>
                <w:color w:val="auto"/>
                <w:sz w:val="21"/>
                <w:szCs w:val="21"/>
              </w:rPr>
              <w:t>（具体内容详见图纸及工程量清单）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1.3.2</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合同履行期限</w:t>
            </w:r>
          </w:p>
          <w:p>
            <w:pPr>
              <w:spacing w:line="312" w:lineRule="auto"/>
              <w:jc w:val="center"/>
              <w:rPr>
                <w:rFonts w:ascii="宋体" w:hAnsi="宋体" w:cs="宋体"/>
                <w:bCs/>
                <w:color w:val="auto"/>
                <w:sz w:val="21"/>
                <w:szCs w:val="21"/>
              </w:rPr>
            </w:pPr>
            <w:r>
              <w:rPr>
                <w:rFonts w:hint="eastAsia" w:ascii="宋体" w:hAnsi="宋体" w:cs="宋体"/>
                <w:color w:val="auto"/>
                <w:sz w:val="21"/>
                <w:szCs w:val="21"/>
              </w:rPr>
              <w:t>（计划工期）</w:t>
            </w:r>
          </w:p>
        </w:tc>
        <w:tc>
          <w:tcPr>
            <w:tcW w:w="6988" w:type="dxa"/>
            <w:vAlign w:val="center"/>
          </w:tcPr>
          <w:p>
            <w:pPr>
              <w:spacing w:line="312" w:lineRule="auto"/>
              <w:rPr>
                <w:rFonts w:ascii="宋体" w:hAnsi="宋体" w:cs="宋体"/>
                <w:bCs/>
                <w:color w:val="auto"/>
                <w:sz w:val="21"/>
                <w:szCs w:val="21"/>
              </w:rPr>
            </w:pPr>
            <w:r>
              <w:rPr>
                <w:rFonts w:hint="eastAsia" w:ascii="宋体" w:hAnsi="宋体" w:cs="宋体"/>
                <w:color w:val="auto"/>
                <w:sz w:val="21"/>
                <w:szCs w:val="21"/>
              </w:rPr>
              <w:t>项目工期为35天，预计2022年7月1日-2022年8月5日（具体时间以合同实际签订为准）。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1.3.3</w:t>
            </w:r>
          </w:p>
        </w:tc>
        <w:tc>
          <w:tcPr>
            <w:tcW w:w="2074" w:type="dxa"/>
            <w:vAlign w:val="center"/>
          </w:tcPr>
          <w:p>
            <w:pPr>
              <w:spacing w:line="312" w:lineRule="auto"/>
              <w:jc w:val="center"/>
              <w:rPr>
                <w:rFonts w:ascii="宋体" w:hAnsi="宋体" w:cs="宋体"/>
                <w:color w:val="auto"/>
                <w:w w:val="98"/>
                <w:sz w:val="21"/>
                <w:szCs w:val="21"/>
              </w:rPr>
            </w:pPr>
            <w:r>
              <w:rPr>
                <w:rFonts w:hint="eastAsia" w:ascii="宋体" w:hAnsi="宋体" w:cs="宋体"/>
                <w:color w:val="auto"/>
                <w:sz w:val="21"/>
                <w:szCs w:val="21"/>
              </w:rPr>
              <w:t>工程地点</w:t>
            </w:r>
          </w:p>
        </w:tc>
        <w:tc>
          <w:tcPr>
            <w:tcW w:w="6988" w:type="dxa"/>
            <w:vAlign w:val="center"/>
          </w:tcPr>
          <w:p>
            <w:pPr>
              <w:spacing w:line="312" w:lineRule="auto"/>
              <w:rPr>
                <w:rFonts w:ascii="宋体" w:hAnsi="宋体" w:cs="宋体"/>
                <w:bCs/>
                <w:color w:val="auto"/>
                <w:sz w:val="21"/>
                <w:szCs w:val="21"/>
              </w:rPr>
            </w:pPr>
            <w:r>
              <w:rPr>
                <w:rFonts w:hint="eastAsia" w:ascii="宋体" w:hAnsi="宋体" w:cs="宋体"/>
                <w:color w:val="auto"/>
                <w:sz w:val="21"/>
                <w:szCs w:val="21"/>
              </w:rPr>
              <w:t>东北师范大学</w:t>
            </w:r>
            <w:r>
              <w:rPr>
                <w:rFonts w:hint="eastAsia" w:ascii="宋体" w:hAnsi="宋体" w:cs="宋体"/>
                <w:bCs/>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1.3.4</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质量要求</w:t>
            </w:r>
          </w:p>
        </w:tc>
        <w:tc>
          <w:tcPr>
            <w:tcW w:w="6988"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符合现行国家有关工程施工验收规范和标准的合格工程。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1.4.1</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供应商资质条件、能力、信誉</w:t>
            </w:r>
          </w:p>
        </w:tc>
        <w:tc>
          <w:tcPr>
            <w:tcW w:w="6988" w:type="dxa"/>
          </w:tcPr>
          <w:p>
            <w:pPr>
              <w:spacing w:line="312" w:lineRule="auto"/>
              <w:jc w:val="left"/>
              <w:rPr>
                <w:rFonts w:ascii="宋体" w:hAnsi="宋体" w:cs="宋体"/>
                <w:bCs/>
                <w:color w:val="auto"/>
                <w:sz w:val="21"/>
                <w:szCs w:val="21"/>
              </w:rPr>
            </w:pPr>
            <w:r>
              <w:rPr>
                <w:rFonts w:hint="eastAsia" w:ascii="宋体" w:hAnsi="宋体" w:cs="宋体"/>
                <w:bCs/>
                <w:color w:val="auto"/>
                <w:sz w:val="21"/>
                <w:szCs w:val="21"/>
              </w:rPr>
              <w:t>1.满足《中华人民共和国政府采购法》第二十二条规定，即：</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（1）具有独立承担民事责任的能力；</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（2）具有良好的商业信誉和健全的财务会计制度；</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（3）具有履行合同所必需的设备和专业技术能力；</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（4）有依法缴纳税收和社会保障资金的良好记录；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（5）参加政府采购活动前三年内，在经营活动中没有重大违法记录；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（6）法律、行政法规规定的其他条件。</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2.落实政府采购政策需满足的资格要求：</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（1）根据《政府采购促进中小企业发展管理办法》（财库〔2020〕46号）规定，本项目专门面向中小企业采购，不接受非中小企业参与本项目。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（2）根据《关于政府采购支持监狱企业发展有关问题的通知》规定，在政府采购活动中，监狱企业视同小型、微型企业，享受预留份额、评审中价格扣除等政府采购促进中小企业发展的政府采购政策。</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（3）根据《关于促进残疾人就业政府采购政策的通知》规定，在政府采购活动中，残疾人福利性单位视同小型、微型企业，享受预留份额、评审中价格扣除等促进中小企业发展的政府采购政策。</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 xml:space="preserve">注：①中小企业参加政府采购活动（依据《中小企业划型标准规定》中建筑业划型标准划定），应当出具《政府采购促进中小企业发展管理办法》规定的《中小企业声明函》，否则不得享受相关中小企业扶持政策。       </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②监狱企业参加政府采购活动时，应当提供由省级以上监狱管理局、戒毒管理局（含新疆生产建设兵团）出具的属于监狱企业的证明文件。</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③残疾人福利性单位在参加政府采购活动时，应当按规定提供《残疾人福利性单位声明函》，并对声明的真实性负责。</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3.本项目的特定资格要求：</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w:t>
            </w:r>
            <w:r>
              <w:rPr>
                <w:rFonts w:hint="eastAsia" w:ascii="宋体" w:hAnsi="宋体" w:cs="宋体"/>
                <w:color w:val="auto"/>
                <w:spacing w:val="14"/>
                <w:kern w:val="0"/>
                <w:sz w:val="21"/>
                <w:szCs w:val="21"/>
              </w:rPr>
              <w:t>供应商须是具备建设行政主管部门核发的电力工程施工总承包叁级及以上（或输变电工程专业承包叁级及以上）资质和承装（修、试）电力五级及以上资质的法人或其他组织</w:t>
            </w:r>
            <w:r>
              <w:rPr>
                <w:rFonts w:hint="eastAsia" w:ascii="宋体" w:hAnsi="宋体" w:cs="宋体"/>
                <w:bCs/>
                <w:color w:val="auto"/>
                <w:sz w:val="21"/>
                <w:szCs w:val="21"/>
              </w:rPr>
              <w:t>；具备有效的安全生产许可证，并在人员、设备、资金等方面具有承揽本项目相应的能力。（执行《住房和城乡建设部关于印发建设工程企业资质管理制度改革方案的通知》建市【2020】94号文件、《吉林省住房和城乡建设厅关于延长建设工程企业资质有效期的通知》吉建办【2021】99号文件、《关于疫情防控期间安全生产许可证等业务办理有关事项的补充通知》吉建安【2022】7号文件的规定）</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3.2供应商拟派出的项目经理须具备机电工程专业贰级及以上注册建造师资格，具备有效的安全生产考核合格证。供应商拟派的项目经理应无在建工程，否则将否决其响应文件。</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3.3近三年（2019年、2020年、2021年）财务状况良好，具有财务审计报告。（成立年限不足三年的提供成立之日起到2021年度加盖公章的财务审计报告即可；2021年成立至2022年1月1日不足1年或2022年成立的公司提供加盖公章的财务报表即可。）</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3.4供应商需提供近一年（2021年6月1日至2022年5月31日）任意连续三个月的缴纳社保证明及纳税证明材料。</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3.5拒绝列入政府取消投标资格记录期间的企业或个人参与本项目。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3.6与采购人存在利害关系可能影响磋商公正性的法人、其他组织或者个人，不得参与本项目。单位负责人为同一人或者存在直接控股、管理关系的不同供应商，不得参加同一合同项下的政府采购活动。</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3.7拒绝列入全国建筑市场监管公共服务平台建筑市场主体“黑名单”的企业或个人参与本项目。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3.8未被列入信用中国网（www.creditchina.gov.cn）渠道信用记录失信被执行人、重大税收违法案件当事人名单（即“税收违法黑名单”）；未被列入中国政府采购网（http://www.ccgp.gov.cn）政府采购严重违法失信行为记录名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3.9中国裁判文书网（hppt://wenshu.court.gov.cn/）中供应商及法定代表人近三年无行贿犯罪记录。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3.10本次磋商不接受联合体参与。</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3.11本项目委托代理人、项目经理需具有近一年（2021年6月1日至2022年5月31日）任意连续三个月的社保证明，且本项目委托代理人在签订合同完成前不得随意更换。</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3.12外省入吉建筑业企业应按照吉林省相关要求办理入吉登记后方可参与本项目。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3.13根据教育部审计（教财经责报[2017]22号）要求，不接受涉及我校刑事案件的供应商参与本项目。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1.4.2</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是否接受联合体参与</w:t>
            </w:r>
          </w:p>
        </w:tc>
        <w:tc>
          <w:tcPr>
            <w:tcW w:w="6988" w:type="dxa"/>
            <w:vAlign w:val="center"/>
          </w:tcPr>
          <w:p>
            <w:pPr>
              <w:spacing w:line="312" w:lineRule="auto"/>
              <w:rPr>
                <w:rFonts w:ascii="宋体" w:hAnsi="宋体" w:cs="宋体"/>
                <w:color w:val="auto"/>
                <w:sz w:val="21"/>
                <w:szCs w:val="21"/>
              </w:rPr>
            </w:pPr>
            <w:r>
              <w:rPr>
                <w:rFonts w:hint="eastAsia" w:ascii="宋体" w:hAnsi="宋体" w:cs="宋体"/>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1.9.1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踏勘现场</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rPr>
            </w:pPr>
            <w:r>
              <w:rPr>
                <w:rFonts w:hint="eastAsia" w:ascii="宋体" w:hAnsi="宋体" w:cs="宋体"/>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w w:val="99"/>
                <w:sz w:val="21"/>
                <w:szCs w:val="21"/>
              </w:rPr>
              <w:t>1</w:t>
            </w:r>
            <w:r>
              <w:rPr>
                <w:rFonts w:hint="eastAsia" w:ascii="宋体" w:hAnsi="宋体" w:cs="宋体"/>
                <w:bCs/>
                <w:color w:val="auto"/>
                <w:sz w:val="21"/>
                <w:szCs w:val="21"/>
              </w:rPr>
              <w:t>.10.1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磋商预备会</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1.10.2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color w:val="auto"/>
                <w:sz w:val="21"/>
                <w:szCs w:val="21"/>
              </w:rPr>
              <w:t>供应商提出问题的截止时间</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截止时间：2022年6月2</w:t>
            </w:r>
            <w:r>
              <w:rPr>
                <w:rFonts w:hint="eastAsia" w:ascii="宋体" w:hAnsi="宋体" w:cs="宋体"/>
                <w:color w:val="auto"/>
                <w:sz w:val="21"/>
                <w:szCs w:val="21"/>
                <w:lang w:val="en-US" w:eastAsia="zh-CN"/>
              </w:rPr>
              <w:t>8</w:t>
            </w:r>
            <w:r>
              <w:rPr>
                <w:rFonts w:hint="eastAsia" w:ascii="宋体" w:hAnsi="宋体" w:cs="宋体"/>
                <w:color w:val="auto"/>
                <w:sz w:val="21"/>
                <w:szCs w:val="21"/>
              </w:rPr>
              <w:t>日11时00分前</w:t>
            </w:r>
          </w:p>
          <w:p>
            <w:pPr>
              <w:spacing w:line="312" w:lineRule="auto"/>
              <w:jc w:val="left"/>
              <w:rPr>
                <w:rFonts w:ascii="宋体" w:hAnsi="宋体" w:cs="宋体"/>
                <w:color w:val="auto"/>
                <w:sz w:val="21"/>
                <w:szCs w:val="21"/>
              </w:rPr>
            </w:pPr>
            <w:r>
              <w:rPr>
                <w:rFonts w:hint="eastAsia" w:ascii="宋体" w:hAnsi="宋体" w:cs="宋体"/>
                <w:color w:val="auto"/>
                <w:sz w:val="21"/>
                <w:szCs w:val="21"/>
              </w:rPr>
              <w:t>递交地点：</w:t>
            </w:r>
            <w:r>
              <w:rPr>
                <w:rFonts w:hint="eastAsia" w:ascii="宋体" w:hAnsi="宋体" w:cs="宋体"/>
                <w:color w:val="auto"/>
                <w:sz w:val="21"/>
                <w:szCs w:val="21"/>
                <w:lang w:val="zh-CN"/>
              </w:rPr>
              <w:t>吉林省晟裕工程咨询有限公司</w:t>
            </w:r>
            <w:r>
              <w:rPr>
                <w:rFonts w:hint="eastAsia" w:ascii="宋体" w:hAnsi="宋体" w:cs="宋体"/>
                <w:color w:val="auto"/>
                <w:sz w:val="21"/>
                <w:szCs w:val="21"/>
              </w:rPr>
              <w:t>，各供应商须在截止时间前将对磋商文件需澄清的问题以书面方式（“书面方式”包括手写、打印、印刷，本文件下同）</w:t>
            </w:r>
            <w:r>
              <w:rPr>
                <w:rFonts w:hint="eastAsia" w:ascii="宋体" w:hAnsi="宋体" w:cs="宋体"/>
                <w:color w:val="auto"/>
                <w:sz w:val="21"/>
                <w:szCs w:val="21"/>
                <w:lang w:val="zh-CN"/>
              </w:rPr>
              <w:t>电子版文件</w:t>
            </w:r>
            <w:r>
              <w:rPr>
                <w:rFonts w:hint="eastAsia" w:ascii="宋体" w:hAnsi="宋体" w:cs="宋体"/>
                <w:color w:val="auto"/>
                <w:sz w:val="21"/>
                <w:szCs w:val="21"/>
              </w:rPr>
              <w:t>（word</w:t>
            </w:r>
            <w:r>
              <w:rPr>
                <w:rFonts w:hint="eastAsia" w:ascii="宋体" w:hAnsi="宋体" w:cs="宋体"/>
                <w:color w:val="auto"/>
                <w:sz w:val="21"/>
                <w:szCs w:val="21"/>
                <w:lang w:val="zh-CN"/>
              </w:rPr>
              <w:t>版本及加盖公章</w:t>
            </w:r>
            <w:r>
              <w:rPr>
                <w:rFonts w:hint="eastAsia" w:ascii="宋体" w:hAnsi="宋体" w:cs="宋体"/>
                <w:color w:val="auto"/>
                <w:sz w:val="21"/>
                <w:szCs w:val="21"/>
              </w:rPr>
              <w:t>（</w:t>
            </w:r>
            <w:r>
              <w:rPr>
                <w:rFonts w:hint="eastAsia" w:ascii="宋体" w:hAnsi="宋体" w:cs="宋体"/>
                <w:color w:val="auto"/>
                <w:sz w:val="21"/>
                <w:szCs w:val="21"/>
                <w:lang w:val="zh-CN"/>
              </w:rPr>
              <w:t>鲜章</w:t>
            </w:r>
            <w:r>
              <w:rPr>
                <w:rFonts w:hint="eastAsia" w:ascii="宋体" w:hAnsi="宋体" w:cs="宋体"/>
                <w:color w:val="auto"/>
                <w:sz w:val="21"/>
                <w:szCs w:val="21"/>
              </w:rPr>
              <w:t>）</w:t>
            </w:r>
            <w:r>
              <w:rPr>
                <w:rFonts w:hint="eastAsia" w:ascii="宋体" w:hAnsi="宋体" w:cs="宋体"/>
                <w:color w:val="auto"/>
                <w:sz w:val="21"/>
                <w:szCs w:val="21"/>
                <w:lang w:val="zh-CN"/>
              </w:rPr>
              <w:t>的</w:t>
            </w:r>
            <w:r>
              <w:rPr>
                <w:rFonts w:hint="eastAsia" w:ascii="宋体" w:hAnsi="宋体" w:cs="宋体"/>
                <w:color w:val="auto"/>
                <w:sz w:val="21"/>
                <w:szCs w:val="21"/>
              </w:rPr>
              <w:t>PDF</w:t>
            </w:r>
            <w:r>
              <w:rPr>
                <w:rFonts w:hint="eastAsia" w:ascii="宋体" w:hAnsi="宋体" w:cs="宋体"/>
                <w:color w:val="auto"/>
                <w:sz w:val="21"/>
                <w:szCs w:val="21"/>
                <w:lang w:val="zh-CN"/>
              </w:rPr>
              <w:t>扫描件版本</w:t>
            </w:r>
            <w:r>
              <w:rPr>
                <w:rFonts w:hint="eastAsia" w:ascii="宋体" w:hAnsi="宋体" w:cs="宋体"/>
                <w:color w:val="auto"/>
                <w:sz w:val="21"/>
                <w:szCs w:val="21"/>
              </w:rPr>
              <w:t>）</w:t>
            </w:r>
            <w:r>
              <w:rPr>
                <w:rFonts w:hint="eastAsia" w:ascii="宋体" w:hAnsi="宋体" w:cs="宋体"/>
                <w:color w:val="auto"/>
                <w:sz w:val="21"/>
                <w:szCs w:val="21"/>
                <w:lang w:val="zh-CN"/>
              </w:rPr>
              <w:t>传至代理公司邮箱</w:t>
            </w:r>
            <w:r>
              <w:rPr>
                <w:rFonts w:hint="eastAsia" w:ascii="宋体" w:hAnsi="宋体" w:cs="宋体"/>
                <w:color w:val="auto"/>
                <w:sz w:val="21"/>
                <w:szCs w:val="21"/>
              </w:rPr>
              <w:t>（</w:t>
            </w:r>
            <w:r>
              <w:rPr>
                <w:color w:val="auto"/>
              </w:rPr>
              <w:fldChar w:fldCharType="begin"/>
            </w:r>
            <w:r>
              <w:rPr>
                <w:color w:val="auto"/>
              </w:rPr>
              <w:instrText xml:space="preserve"> HYPERLINK "mailto:448530071@qq.com" </w:instrText>
            </w:r>
            <w:r>
              <w:rPr>
                <w:color w:val="auto"/>
              </w:rPr>
              <w:fldChar w:fldCharType="separate"/>
            </w:r>
            <w:r>
              <w:rPr>
                <w:rFonts w:hint="eastAsia" w:ascii="宋体" w:hAnsi="宋体" w:cs="宋体"/>
                <w:color w:val="auto"/>
                <w:sz w:val="21"/>
                <w:szCs w:val="21"/>
              </w:rPr>
              <w:t>syzb9572@163.com</w:t>
            </w:r>
            <w:r>
              <w:rPr>
                <w:rFonts w:hint="eastAsia" w:ascii="宋体" w:hAnsi="宋体" w:cs="宋体"/>
                <w:color w:val="auto"/>
                <w:sz w:val="21"/>
                <w:szCs w:val="21"/>
              </w:rPr>
              <w:fldChar w:fldCharType="end"/>
            </w:r>
            <w:r>
              <w:rPr>
                <w:rFonts w:hint="eastAsia" w:ascii="宋体" w:hAnsi="宋体" w:cs="宋体"/>
                <w:color w:val="auto"/>
                <w:sz w:val="21"/>
                <w:szCs w:val="21"/>
              </w:rPr>
              <w:t>），逾期不再接收任何问题。</w:t>
            </w:r>
          </w:p>
          <w:p>
            <w:pPr>
              <w:spacing w:line="312" w:lineRule="auto"/>
              <w:jc w:val="left"/>
              <w:rPr>
                <w:rFonts w:ascii="宋体" w:hAnsi="宋体" w:cs="宋体"/>
                <w:color w:val="auto"/>
                <w:sz w:val="21"/>
                <w:szCs w:val="21"/>
              </w:rPr>
            </w:pPr>
            <w:r>
              <w:rPr>
                <w:rFonts w:hint="eastAsia" w:ascii="宋体" w:hAnsi="宋体" w:cs="宋体"/>
                <w:color w:val="auto"/>
                <w:sz w:val="21"/>
                <w:szCs w:val="21"/>
              </w:rPr>
              <w:t>联系人：谭爽</w:t>
            </w:r>
          </w:p>
          <w:p>
            <w:pPr>
              <w:spacing w:line="312" w:lineRule="auto"/>
              <w:jc w:val="left"/>
              <w:rPr>
                <w:rFonts w:ascii="宋体" w:hAnsi="宋体" w:cs="宋体"/>
                <w:color w:val="auto"/>
                <w:sz w:val="21"/>
                <w:szCs w:val="21"/>
              </w:rPr>
            </w:pPr>
            <w:r>
              <w:rPr>
                <w:rFonts w:hint="eastAsia" w:ascii="宋体" w:hAnsi="宋体" w:cs="宋体"/>
                <w:color w:val="auto"/>
                <w:sz w:val="21"/>
                <w:szCs w:val="21"/>
              </w:rPr>
              <w:t>联系电话：0431-81727843、81759572</w:t>
            </w:r>
          </w:p>
          <w:p>
            <w:pPr>
              <w:spacing w:line="312" w:lineRule="auto"/>
              <w:jc w:val="left"/>
              <w:rPr>
                <w:rFonts w:ascii="宋体" w:hAnsi="宋体" w:cs="宋体"/>
                <w:bCs/>
                <w:color w:val="auto"/>
                <w:sz w:val="21"/>
                <w:szCs w:val="21"/>
              </w:rPr>
            </w:pPr>
            <w:r>
              <w:rPr>
                <w:rFonts w:hint="eastAsia" w:ascii="宋体" w:hAnsi="宋体" w:cs="宋体"/>
                <w:color w:val="auto"/>
                <w:sz w:val="21"/>
                <w:szCs w:val="21"/>
              </w:rPr>
              <w:t>若供应商未按规定提交疑问，则视为其无疑问。（</w:t>
            </w:r>
            <w:r>
              <w:rPr>
                <w:rFonts w:hint="eastAsia" w:ascii="宋体" w:hAnsi="宋体" w:cs="宋体"/>
                <w:bCs/>
                <w:color w:val="auto"/>
                <w:sz w:val="21"/>
                <w:szCs w:val="21"/>
              </w:rPr>
              <w:t>格式见附件</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1.10.3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竞争性磋商文件澄清发出的形式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bCs/>
                <w:color w:val="auto"/>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1.11</w:t>
            </w:r>
          </w:p>
        </w:tc>
        <w:tc>
          <w:tcPr>
            <w:tcW w:w="207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s="宋体"/>
                <w:color w:val="auto"/>
                <w:w w:val="99"/>
                <w:sz w:val="21"/>
                <w:szCs w:val="21"/>
              </w:rPr>
            </w:pPr>
            <w:r>
              <w:rPr>
                <w:rFonts w:hint="eastAsia" w:ascii="宋体" w:hAnsi="宋体" w:cs="宋体"/>
                <w:bCs/>
                <w:color w:val="auto"/>
                <w:sz w:val="21"/>
                <w:szCs w:val="21"/>
              </w:rPr>
              <w:t>分包、转包</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偏离</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允许</w:t>
            </w:r>
            <w:r>
              <w:rPr>
                <w:rFonts w:hint="eastAsia" w:ascii="宋体" w:hAnsi="宋体" w:cs="宋体"/>
                <w:color w:val="auto"/>
                <w:sz w:val="21"/>
                <w:szCs w:val="21"/>
                <w:lang w:val="en-US" w:eastAsia="zh-CN"/>
              </w:rPr>
              <w:t>正</w:t>
            </w:r>
            <w:r>
              <w:rPr>
                <w:rFonts w:hint="eastAsia" w:ascii="宋体" w:hAnsi="宋体" w:cs="宋体"/>
                <w:color w:val="auto"/>
                <w:sz w:val="21"/>
                <w:szCs w:val="21"/>
              </w:rPr>
              <w:t xml:space="preserve">偏离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构成竞争性磋商文件的其他资料</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图纸、工程量清单、答疑文件等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2.2.1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供应商要求澄清竞争性磋商文件</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同供应商须知前附表1.10.2项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2.2.2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竞争性磋商文件澄清发出的形式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2.2.3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供应商确认收到竞争性磋商文件澄清</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时间：在收到相应澄清文件后</w:t>
            </w:r>
            <w:r>
              <w:rPr>
                <w:rFonts w:hint="eastAsia" w:ascii="宋体" w:hAnsi="宋体" w:cs="宋体"/>
                <w:color w:val="auto"/>
                <w:sz w:val="21"/>
                <w:szCs w:val="21"/>
                <w:u w:val="single"/>
              </w:rPr>
              <w:t xml:space="preserve"> 24 </w:t>
            </w:r>
            <w:r>
              <w:rPr>
                <w:rFonts w:hint="eastAsia" w:ascii="宋体" w:hAnsi="宋体" w:cs="宋体"/>
                <w:color w:val="auto"/>
                <w:sz w:val="21"/>
                <w:szCs w:val="21"/>
              </w:rPr>
              <w:t>小时内</w:t>
            </w:r>
          </w:p>
          <w:p>
            <w:pPr>
              <w:spacing w:line="312" w:lineRule="auto"/>
              <w:jc w:val="left"/>
              <w:rPr>
                <w:rFonts w:ascii="宋体" w:hAnsi="宋体" w:cs="宋体"/>
                <w:color w:val="auto"/>
                <w:sz w:val="21"/>
                <w:szCs w:val="21"/>
              </w:rPr>
            </w:pPr>
            <w:r>
              <w:rPr>
                <w:rFonts w:hint="eastAsia" w:ascii="宋体" w:hAnsi="宋体" w:cs="宋体"/>
                <w:color w:val="auto"/>
                <w:sz w:val="21"/>
                <w:szCs w:val="21"/>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2.3.1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竞争性磋商文件修改发出的形式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2.3.2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供应商确认收到竞争性磋商文件修改</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时间：在收到相应修改文件后</w:t>
            </w:r>
            <w:r>
              <w:rPr>
                <w:rFonts w:hint="eastAsia" w:ascii="宋体" w:hAnsi="宋体" w:cs="宋体"/>
                <w:color w:val="auto"/>
                <w:sz w:val="21"/>
                <w:szCs w:val="21"/>
                <w:u w:val="single"/>
              </w:rPr>
              <w:t xml:space="preserve"> 24 </w:t>
            </w:r>
            <w:r>
              <w:rPr>
                <w:rFonts w:hint="eastAsia" w:ascii="宋体" w:hAnsi="宋体" w:cs="宋体"/>
                <w:color w:val="auto"/>
                <w:sz w:val="21"/>
                <w:szCs w:val="21"/>
              </w:rPr>
              <w:t>小时内</w:t>
            </w:r>
          </w:p>
          <w:p>
            <w:pPr>
              <w:spacing w:line="312" w:lineRule="auto"/>
              <w:jc w:val="left"/>
              <w:rPr>
                <w:rFonts w:ascii="宋体" w:hAnsi="宋体" w:cs="宋体"/>
                <w:color w:val="auto"/>
                <w:sz w:val="21"/>
                <w:szCs w:val="21"/>
              </w:rPr>
            </w:pPr>
            <w:r>
              <w:rPr>
                <w:rFonts w:hint="eastAsia" w:ascii="宋体" w:hAnsi="宋体" w:cs="宋体"/>
                <w:color w:val="auto"/>
                <w:sz w:val="21"/>
                <w:szCs w:val="21"/>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3.1.1</w:t>
            </w:r>
          </w:p>
        </w:tc>
        <w:tc>
          <w:tcPr>
            <w:tcW w:w="20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构成响应文件的其他材料</w:t>
            </w:r>
          </w:p>
        </w:tc>
        <w:tc>
          <w:tcPr>
            <w:tcW w:w="6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rPr>
              <w:t>评审方法中要求提供的证明材料原件</w:t>
            </w:r>
          </w:p>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rPr>
              <w:t>证件原件应装袋递交，并在封袋外面列明项目名称、文件名称及份数，供应商的名称、地址、联系人及联系电话。（文件名称与装袋内容不一致时，后果由供应商自行负责）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3.2.4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采购预算</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Cs w:val="21"/>
              </w:rPr>
            </w:pPr>
            <w:r>
              <w:rPr>
                <w:rFonts w:hint="eastAsia" w:ascii="宋体" w:hAnsi="宋体" w:cs="宋体"/>
                <w:color w:val="auto"/>
                <w:sz w:val="21"/>
                <w:szCs w:val="21"/>
                <w:highlight w:val="none"/>
              </w:rPr>
              <w:t>人民币1612812元（其中包含暂列金140000元）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3.2.5</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磋商报价的其他要求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3.3.1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磋商有效期</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3.4.1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磋商保证金</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磋商保证金的形式：保证金应当以支票、汇票、本票或者金融机构、担保机构出具的保函等非现金形式提交。</w:t>
            </w:r>
          </w:p>
          <w:p>
            <w:pPr>
              <w:spacing w:line="312" w:lineRule="auto"/>
              <w:jc w:val="left"/>
              <w:rPr>
                <w:rFonts w:ascii="宋体" w:hAnsi="宋体" w:cs="宋体"/>
                <w:color w:val="auto"/>
                <w:sz w:val="21"/>
                <w:szCs w:val="21"/>
              </w:rPr>
            </w:pPr>
            <w:r>
              <w:rPr>
                <w:rFonts w:hint="eastAsia" w:ascii="宋体" w:hAnsi="宋体" w:cs="宋体"/>
                <w:color w:val="auto"/>
                <w:sz w:val="21"/>
                <w:szCs w:val="21"/>
              </w:rPr>
              <w:t>磋商保证金的金额：叁万元人民币</w:t>
            </w:r>
          </w:p>
          <w:p>
            <w:pPr>
              <w:spacing w:line="312" w:lineRule="auto"/>
              <w:jc w:val="left"/>
              <w:rPr>
                <w:rFonts w:ascii="宋体" w:hAnsi="宋体" w:cs="宋体"/>
                <w:color w:val="auto"/>
                <w:sz w:val="21"/>
                <w:szCs w:val="21"/>
              </w:rPr>
            </w:pPr>
            <w:r>
              <w:rPr>
                <w:rFonts w:hint="eastAsia" w:ascii="宋体" w:hAnsi="宋体" w:cs="宋体"/>
                <w:color w:val="auto"/>
                <w:sz w:val="21"/>
                <w:szCs w:val="21"/>
              </w:rPr>
              <w:t xml:space="preserve">单位名称：吉林省晟裕工程咨询有限公司 </w:t>
            </w:r>
          </w:p>
          <w:p>
            <w:pPr>
              <w:spacing w:line="312" w:lineRule="auto"/>
              <w:jc w:val="left"/>
              <w:rPr>
                <w:rFonts w:ascii="宋体" w:hAnsi="宋体" w:cs="宋体"/>
                <w:color w:val="auto"/>
                <w:sz w:val="21"/>
                <w:szCs w:val="21"/>
              </w:rPr>
            </w:pPr>
            <w:r>
              <w:rPr>
                <w:rFonts w:hint="eastAsia" w:ascii="宋体" w:hAnsi="宋体" w:cs="宋体"/>
                <w:color w:val="auto"/>
                <w:sz w:val="21"/>
                <w:szCs w:val="21"/>
              </w:rPr>
              <w:t>中信银行开户行全称：中信银行长春分行营业部</w:t>
            </w:r>
          </w:p>
          <w:p>
            <w:pPr>
              <w:spacing w:line="312" w:lineRule="auto"/>
              <w:jc w:val="left"/>
              <w:rPr>
                <w:rFonts w:ascii="宋体" w:hAnsi="宋体" w:cs="宋体"/>
                <w:color w:val="auto"/>
                <w:sz w:val="21"/>
                <w:szCs w:val="21"/>
              </w:rPr>
            </w:pPr>
            <w:r>
              <w:rPr>
                <w:rFonts w:hint="eastAsia" w:ascii="宋体" w:hAnsi="宋体" w:cs="宋体"/>
                <w:color w:val="auto"/>
                <w:sz w:val="21"/>
                <w:szCs w:val="21"/>
              </w:rPr>
              <w:t>账号：8113601013600022027</w:t>
            </w:r>
          </w:p>
          <w:p>
            <w:pPr>
              <w:spacing w:line="312" w:lineRule="auto"/>
              <w:jc w:val="left"/>
              <w:rPr>
                <w:rFonts w:ascii="宋体" w:hAnsi="宋体" w:cs="宋体"/>
                <w:color w:val="auto"/>
                <w:sz w:val="21"/>
                <w:szCs w:val="21"/>
              </w:rPr>
            </w:pPr>
            <w:r>
              <w:rPr>
                <w:rFonts w:hint="eastAsia" w:ascii="宋体" w:hAnsi="宋体" w:cs="宋体"/>
                <w:color w:val="auto"/>
                <w:sz w:val="21"/>
                <w:szCs w:val="21"/>
              </w:rPr>
              <w:t>联行号：302241000021</w:t>
            </w:r>
          </w:p>
          <w:p>
            <w:pPr>
              <w:spacing w:line="312" w:lineRule="auto"/>
              <w:jc w:val="left"/>
              <w:rPr>
                <w:rFonts w:ascii="宋体" w:hAnsi="宋体" w:cs="宋体"/>
                <w:color w:val="auto"/>
                <w:sz w:val="21"/>
                <w:szCs w:val="21"/>
              </w:rPr>
            </w:pPr>
            <w:r>
              <w:rPr>
                <w:rFonts w:hint="eastAsia" w:ascii="宋体" w:hAnsi="宋体" w:cs="宋体"/>
                <w:color w:val="auto"/>
                <w:sz w:val="21"/>
                <w:szCs w:val="21"/>
              </w:rPr>
              <w:t>注：供应商提交磋商保证金应当符合相关法律法规，并能够体现出用途、投标项目名称、供应商名称及联系方式以便核查。</w:t>
            </w:r>
          </w:p>
          <w:p>
            <w:pPr>
              <w:spacing w:line="312" w:lineRule="auto"/>
              <w:jc w:val="left"/>
              <w:rPr>
                <w:rFonts w:ascii="宋体" w:hAnsi="宋体" w:cs="宋体"/>
                <w:color w:val="auto"/>
                <w:sz w:val="21"/>
                <w:szCs w:val="21"/>
              </w:rPr>
            </w:pPr>
            <w:r>
              <w:rPr>
                <w:rFonts w:hint="eastAsia" w:ascii="宋体" w:hAnsi="宋体" w:cs="宋体"/>
                <w:color w:val="auto"/>
                <w:sz w:val="21"/>
                <w:szCs w:val="21"/>
              </w:rPr>
              <w:t>响应文件内附磋商保证金缴纳凭证及基本账户开户许可证复印件。</w:t>
            </w:r>
          </w:p>
          <w:p>
            <w:pPr>
              <w:spacing w:line="312" w:lineRule="auto"/>
              <w:jc w:val="left"/>
              <w:rPr>
                <w:rFonts w:ascii="宋体" w:hAnsi="宋体" w:cs="宋体"/>
                <w:color w:val="auto"/>
                <w:sz w:val="21"/>
                <w:szCs w:val="21"/>
              </w:rPr>
            </w:pPr>
            <w:r>
              <w:rPr>
                <w:rFonts w:hint="eastAsia" w:ascii="宋体" w:hAnsi="宋体" w:cs="宋体"/>
                <w:color w:val="auto"/>
                <w:sz w:val="21"/>
                <w:szCs w:val="21"/>
              </w:rPr>
              <w:t>以支票、汇票、本票、保函形式递交的须将磋商保证金相关缴纳凭证原件随响应文件一同单独递交，磋商保证金缴纳凭证原件由代理机构统一留存，并在法定返还期限内另行返还供应商。</w:t>
            </w:r>
          </w:p>
          <w:p>
            <w:pPr>
              <w:spacing w:line="312" w:lineRule="auto"/>
              <w:jc w:val="left"/>
              <w:rPr>
                <w:rFonts w:ascii="宋体" w:hAnsi="宋体" w:cs="宋体"/>
                <w:color w:val="auto"/>
                <w:sz w:val="21"/>
                <w:szCs w:val="21"/>
              </w:rPr>
            </w:pPr>
            <w:r>
              <w:rPr>
                <w:rFonts w:hint="eastAsia" w:ascii="宋体" w:hAnsi="宋体" w:cs="宋体"/>
                <w:color w:val="auto"/>
                <w:sz w:val="21"/>
                <w:szCs w:val="21"/>
              </w:rPr>
              <w:t>供应商须对递交的磋商保证金真实性、合法性负全责，并在响应文件中提供磋商保证金真实、合法、有效的书面承诺。若发现供应商递交的磋商保证金存在不真实或违法情况，其响应文件将被否决。</w:t>
            </w:r>
          </w:p>
          <w:p>
            <w:pPr>
              <w:spacing w:line="312" w:lineRule="auto"/>
              <w:jc w:val="left"/>
              <w:rPr>
                <w:rFonts w:ascii="宋体" w:hAnsi="宋体" w:cs="宋体"/>
                <w:color w:val="auto"/>
                <w:sz w:val="21"/>
                <w:szCs w:val="21"/>
              </w:rPr>
            </w:pPr>
            <w:r>
              <w:rPr>
                <w:rFonts w:hint="eastAsia" w:ascii="宋体" w:hAnsi="宋体" w:cs="宋体"/>
                <w:color w:val="auto"/>
                <w:sz w:val="21"/>
                <w:szCs w:val="21"/>
              </w:rPr>
              <w:t xml:space="preserve">注：基本账户开户许可取消后新开立基本账户的供应商，可以按照中国人民银行的相关文件规定提交银行打印的《基本存款账户信息》。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3.4.4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其他可以不予退还磋商保证金的情形</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3.5</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资格审查资料的特殊要求</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3.5.2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近三年财务状况的年份要求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rPr>
            </w:pPr>
            <w:r>
              <w:rPr>
                <w:rFonts w:hint="eastAsia" w:ascii="宋体" w:hAnsi="宋体" w:cs="宋体"/>
                <w:color w:val="auto"/>
                <w:sz w:val="21"/>
                <w:szCs w:val="18"/>
              </w:rPr>
              <w:t>三年，指</w:t>
            </w:r>
            <w:r>
              <w:rPr>
                <w:rFonts w:hint="eastAsia" w:ascii="宋体" w:hAnsi="宋体" w:cs="宋体"/>
                <w:color w:val="auto"/>
                <w:sz w:val="21"/>
                <w:szCs w:val="18"/>
                <w:u w:val="single"/>
              </w:rPr>
              <w:t>2019</w:t>
            </w:r>
            <w:r>
              <w:rPr>
                <w:rFonts w:hint="eastAsia" w:ascii="宋体" w:hAnsi="宋体" w:cs="宋体"/>
                <w:color w:val="auto"/>
                <w:sz w:val="21"/>
                <w:szCs w:val="18"/>
              </w:rPr>
              <w:t>年</w:t>
            </w:r>
            <w:r>
              <w:rPr>
                <w:rFonts w:hint="eastAsia" w:ascii="宋体" w:hAnsi="宋体" w:cs="宋体"/>
                <w:color w:val="auto"/>
                <w:sz w:val="21"/>
                <w:szCs w:val="18"/>
                <w:u w:val="single"/>
              </w:rPr>
              <w:t>1</w:t>
            </w:r>
            <w:r>
              <w:rPr>
                <w:rFonts w:hint="eastAsia" w:ascii="宋体" w:hAnsi="宋体" w:cs="宋体"/>
                <w:color w:val="auto"/>
                <w:sz w:val="21"/>
                <w:szCs w:val="18"/>
              </w:rPr>
              <w:t>月</w:t>
            </w:r>
            <w:r>
              <w:rPr>
                <w:rFonts w:hint="eastAsia" w:ascii="宋体" w:hAnsi="宋体" w:cs="宋体"/>
                <w:color w:val="auto"/>
                <w:sz w:val="21"/>
                <w:szCs w:val="18"/>
                <w:u w:val="single"/>
              </w:rPr>
              <w:t>1</w:t>
            </w:r>
            <w:r>
              <w:rPr>
                <w:rFonts w:hint="eastAsia" w:ascii="宋体" w:hAnsi="宋体" w:cs="宋体"/>
                <w:color w:val="auto"/>
                <w:sz w:val="21"/>
                <w:szCs w:val="18"/>
              </w:rPr>
              <w:t>日起至</w:t>
            </w:r>
            <w:r>
              <w:rPr>
                <w:rFonts w:hint="eastAsia" w:ascii="宋体" w:hAnsi="宋体" w:cs="宋体"/>
                <w:color w:val="auto"/>
                <w:sz w:val="21"/>
                <w:szCs w:val="18"/>
                <w:u w:val="single"/>
              </w:rPr>
              <w:t>2021</w:t>
            </w:r>
            <w:r>
              <w:rPr>
                <w:rFonts w:hint="eastAsia" w:ascii="宋体" w:hAnsi="宋体" w:cs="宋体"/>
                <w:color w:val="auto"/>
                <w:sz w:val="21"/>
                <w:szCs w:val="18"/>
              </w:rPr>
              <w:t>年</w:t>
            </w:r>
            <w:r>
              <w:rPr>
                <w:rFonts w:hint="eastAsia" w:ascii="宋体" w:hAnsi="宋体" w:cs="宋体"/>
                <w:color w:val="auto"/>
                <w:sz w:val="21"/>
                <w:szCs w:val="18"/>
                <w:u w:val="single"/>
              </w:rPr>
              <w:t>12</w:t>
            </w:r>
            <w:r>
              <w:rPr>
                <w:rFonts w:hint="eastAsia" w:ascii="宋体" w:hAnsi="宋体" w:cs="宋体"/>
                <w:color w:val="auto"/>
                <w:sz w:val="21"/>
                <w:szCs w:val="18"/>
              </w:rPr>
              <w:t>月</w:t>
            </w:r>
            <w:r>
              <w:rPr>
                <w:rFonts w:hint="eastAsia" w:ascii="宋体" w:hAnsi="宋体" w:cs="宋体"/>
                <w:color w:val="auto"/>
                <w:sz w:val="21"/>
                <w:szCs w:val="18"/>
                <w:u w:val="single"/>
              </w:rPr>
              <w:t>31</w:t>
            </w:r>
            <w:r>
              <w:rPr>
                <w:rFonts w:hint="eastAsia" w:ascii="宋体" w:hAnsi="宋体" w:cs="宋体"/>
                <w:color w:val="auto"/>
                <w:sz w:val="21"/>
                <w:szCs w:val="1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3.5.3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近年完成的类似项目的年份要求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18"/>
              </w:rPr>
            </w:pPr>
            <w:r>
              <w:rPr>
                <w:rFonts w:hint="eastAsia" w:ascii="宋体" w:hAnsi="宋体" w:cs="宋体"/>
                <w:color w:val="auto"/>
                <w:sz w:val="21"/>
                <w:szCs w:val="18"/>
              </w:rPr>
              <w:t>三年，指</w:t>
            </w:r>
            <w:r>
              <w:rPr>
                <w:rFonts w:hint="eastAsia" w:ascii="宋体" w:hAnsi="宋体" w:cs="宋体"/>
                <w:color w:val="auto"/>
                <w:sz w:val="21"/>
                <w:szCs w:val="18"/>
                <w:u w:val="single"/>
              </w:rPr>
              <w:t>2019</w:t>
            </w:r>
            <w:r>
              <w:rPr>
                <w:rFonts w:hint="eastAsia" w:ascii="宋体" w:hAnsi="宋体" w:cs="宋体"/>
                <w:color w:val="auto"/>
                <w:sz w:val="21"/>
                <w:szCs w:val="18"/>
              </w:rPr>
              <w:t>年</w:t>
            </w:r>
            <w:r>
              <w:rPr>
                <w:rFonts w:hint="eastAsia" w:ascii="宋体" w:hAnsi="宋体" w:cs="宋体"/>
                <w:color w:val="auto"/>
                <w:sz w:val="21"/>
                <w:szCs w:val="18"/>
                <w:u w:val="single"/>
              </w:rPr>
              <w:t>1</w:t>
            </w:r>
            <w:r>
              <w:rPr>
                <w:rFonts w:hint="eastAsia" w:ascii="宋体" w:hAnsi="宋体" w:cs="宋体"/>
                <w:color w:val="auto"/>
                <w:sz w:val="21"/>
                <w:szCs w:val="18"/>
              </w:rPr>
              <w:t>月</w:t>
            </w:r>
            <w:r>
              <w:rPr>
                <w:rFonts w:hint="eastAsia" w:ascii="宋体" w:hAnsi="宋体" w:cs="宋体"/>
                <w:color w:val="auto"/>
                <w:sz w:val="21"/>
                <w:szCs w:val="18"/>
                <w:u w:val="single"/>
              </w:rPr>
              <w:t>1</w:t>
            </w:r>
            <w:r>
              <w:rPr>
                <w:rFonts w:hint="eastAsia" w:ascii="宋体" w:hAnsi="宋体" w:cs="宋体"/>
                <w:color w:val="auto"/>
                <w:sz w:val="21"/>
                <w:szCs w:val="18"/>
              </w:rPr>
              <w:t>日起至</w:t>
            </w:r>
            <w:r>
              <w:rPr>
                <w:rFonts w:hint="eastAsia" w:ascii="宋体" w:hAnsi="宋体" w:cs="宋体"/>
                <w:color w:val="auto"/>
                <w:sz w:val="21"/>
                <w:szCs w:val="18"/>
                <w:u w:val="single"/>
              </w:rPr>
              <w:t>2021</w:t>
            </w:r>
            <w:r>
              <w:rPr>
                <w:rFonts w:hint="eastAsia" w:ascii="宋体" w:hAnsi="宋体" w:cs="宋体"/>
                <w:color w:val="auto"/>
                <w:sz w:val="21"/>
                <w:szCs w:val="18"/>
              </w:rPr>
              <w:t>年</w:t>
            </w:r>
            <w:r>
              <w:rPr>
                <w:rFonts w:hint="eastAsia" w:ascii="宋体" w:hAnsi="宋体" w:cs="宋体"/>
                <w:color w:val="auto"/>
                <w:sz w:val="21"/>
                <w:szCs w:val="18"/>
                <w:u w:val="single"/>
              </w:rPr>
              <w:t>12</w:t>
            </w:r>
            <w:r>
              <w:rPr>
                <w:rFonts w:hint="eastAsia" w:ascii="宋体" w:hAnsi="宋体" w:cs="宋体"/>
                <w:color w:val="auto"/>
                <w:sz w:val="21"/>
                <w:szCs w:val="18"/>
              </w:rPr>
              <w:t>月</w:t>
            </w:r>
            <w:r>
              <w:rPr>
                <w:rFonts w:hint="eastAsia" w:ascii="宋体" w:hAnsi="宋体" w:cs="宋体"/>
                <w:color w:val="auto"/>
                <w:sz w:val="21"/>
                <w:szCs w:val="18"/>
                <w:u w:val="single"/>
              </w:rPr>
              <w:t>31</w:t>
            </w:r>
            <w:r>
              <w:rPr>
                <w:rFonts w:hint="eastAsia" w:ascii="宋体" w:hAnsi="宋体" w:cs="宋体"/>
                <w:color w:val="auto"/>
                <w:sz w:val="21"/>
                <w:szCs w:val="1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3.6.1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是否允许递交备选磋商方案</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3.7.3（2）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响应文件份数及其他要求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正本一份，副本四份，同时提供2份电子文件（U盘，</w:t>
            </w:r>
            <w:r>
              <w:rPr>
                <w:rFonts w:hint="eastAsia" w:ascii="宋体" w:hAnsi="宋体" w:cs="宋体"/>
                <w:bCs/>
                <w:color w:val="auto"/>
                <w:kern w:val="15"/>
                <w:sz w:val="21"/>
                <w:szCs w:val="21"/>
              </w:rPr>
              <w:t>PDF及word两种格式，PDF格式包含所有响应文件签字及盖章内容</w:t>
            </w:r>
            <w:r>
              <w:rPr>
                <w:rFonts w:hint="eastAsia" w:ascii="宋体" w:hAnsi="宋体" w:cs="宋体"/>
                <w:color w:val="auto"/>
                <w:sz w:val="21"/>
                <w:szCs w:val="21"/>
              </w:rPr>
              <w:t>，</w:t>
            </w:r>
            <w:r>
              <w:rPr>
                <w:rFonts w:hint="eastAsia" w:ascii="宋体" w:hAnsi="宋体" w:cs="宋体"/>
                <w:b/>
                <w:bCs/>
                <w:color w:val="auto"/>
                <w:sz w:val="21"/>
                <w:szCs w:val="21"/>
              </w:rPr>
              <w:t>分别</w:t>
            </w:r>
            <w:r>
              <w:rPr>
                <w:rFonts w:hint="eastAsia" w:ascii="宋体" w:hAnsi="宋体" w:cs="宋体"/>
                <w:color w:val="auto"/>
                <w:sz w:val="21"/>
                <w:szCs w:val="21"/>
              </w:rPr>
              <w:t>单独密封），电子文件与文本文件不一致时，以文本文件为准。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3.7.3（3）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响应文件是否需分册装订</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响应文件的正本与副本应分别装订成册。</w:t>
            </w:r>
          </w:p>
          <w:p>
            <w:pPr>
              <w:spacing w:line="312" w:lineRule="auto"/>
              <w:jc w:val="left"/>
              <w:rPr>
                <w:rFonts w:ascii="宋体" w:hAnsi="宋体" w:cs="宋体"/>
                <w:color w:val="auto"/>
                <w:sz w:val="21"/>
                <w:szCs w:val="21"/>
              </w:rPr>
            </w:pPr>
            <w:r>
              <w:rPr>
                <w:rFonts w:hint="eastAsia" w:ascii="宋体" w:hAnsi="宋体" w:cs="宋体"/>
                <w:color w:val="auto"/>
                <w:sz w:val="21"/>
                <w:szCs w:val="21"/>
              </w:rPr>
              <w:t>响应文件的装订要求：左侧纵向装订，胶装成不可拆分的书册形式。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4.1.2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封套上应载明的信息</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供应商名称：</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rPr>
              <w:t>供应商地址：</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u w:val="single"/>
              </w:rPr>
              <w:t>（项目名称）</w:t>
            </w:r>
          </w:p>
          <w:p>
            <w:pPr>
              <w:spacing w:line="312" w:lineRule="auto"/>
              <w:jc w:val="left"/>
              <w:rPr>
                <w:rFonts w:ascii="宋体" w:hAnsi="宋体" w:cs="宋体"/>
                <w:color w:val="auto"/>
                <w:sz w:val="21"/>
                <w:szCs w:val="21"/>
              </w:rPr>
            </w:pPr>
            <w:r>
              <w:rPr>
                <w:rFonts w:hint="eastAsia" w:ascii="宋体" w:hAnsi="宋体" w:cs="宋体"/>
                <w:color w:val="auto"/>
                <w:sz w:val="21"/>
                <w:szCs w:val="21"/>
              </w:rPr>
              <w:t>响应文件</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rPr>
              <w:t>项目编号：</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rPr>
              <w:t>在</w:t>
            </w:r>
            <w:r>
              <w:rPr>
                <w:rFonts w:hint="eastAsia" w:ascii="宋体" w:hAnsi="宋体" w:cs="宋体"/>
                <w:color w:val="auto"/>
                <w:sz w:val="21"/>
                <w:szCs w:val="21"/>
              </w:rPr>
              <w:tab/>
            </w:r>
            <w:r>
              <w:rPr>
                <w:rFonts w:hint="eastAsia" w:ascii="宋体" w:hAnsi="宋体" w:cs="宋体"/>
                <w:color w:val="auto"/>
                <w:sz w:val="21"/>
                <w:szCs w:val="21"/>
              </w:rPr>
              <w:t>年</w:t>
            </w:r>
            <w:r>
              <w:rPr>
                <w:rFonts w:hint="eastAsia" w:ascii="宋体" w:hAnsi="宋体" w:cs="宋体"/>
                <w:color w:val="auto"/>
                <w:sz w:val="21"/>
                <w:szCs w:val="21"/>
              </w:rPr>
              <w:tab/>
            </w:r>
            <w:r>
              <w:rPr>
                <w:rFonts w:hint="eastAsia" w:ascii="宋体" w:hAnsi="宋体" w:cs="宋体"/>
                <w:color w:val="auto"/>
                <w:sz w:val="21"/>
                <w:szCs w:val="21"/>
              </w:rPr>
              <w:t>月</w:t>
            </w:r>
            <w:r>
              <w:rPr>
                <w:rFonts w:hint="eastAsia" w:ascii="宋体" w:hAnsi="宋体" w:cs="宋体"/>
                <w:color w:val="auto"/>
                <w:sz w:val="21"/>
                <w:szCs w:val="21"/>
              </w:rPr>
              <w:tab/>
            </w:r>
            <w:r>
              <w:rPr>
                <w:rFonts w:hint="eastAsia" w:ascii="宋体" w:hAnsi="宋体" w:cs="宋体"/>
                <w:color w:val="auto"/>
                <w:sz w:val="21"/>
                <w:szCs w:val="21"/>
              </w:rPr>
              <w:t>日</w:t>
            </w:r>
            <w:r>
              <w:rPr>
                <w:rFonts w:hint="eastAsia" w:ascii="宋体" w:hAnsi="宋体" w:cs="宋体"/>
                <w:color w:val="auto"/>
                <w:sz w:val="21"/>
                <w:szCs w:val="21"/>
              </w:rPr>
              <w:tab/>
            </w:r>
            <w:r>
              <w:rPr>
                <w:rFonts w:hint="eastAsia" w:ascii="宋体" w:hAnsi="宋体" w:cs="宋体"/>
                <w:color w:val="auto"/>
                <w:sz w:val="21"/>
                <w:szCs w:val="21"/>
              </w:rPr>
              <w:t>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4.2.1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递交响应文件截止时间</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u w:val="single"/>
              </w:rPr>
              <w:t>2022年7月2日9点30分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4.2.2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递交响应文件地点</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地  点：吉林省晟裕工程咨询有限公司二楼会议室（长春市春城大街789号）</w:t>
            </w:r>
          </w:p>
          <w:p>
            <w:pPr>
              <w:spacing w:line="312" w:lineRule="auto"/>
              <w:rPr>
                <w:rFonts w:ascii="宋体" w:hAnsi="宋体" w:cs="宋体"/>
                <w:color w:val="auto"/>
                <w:sz w:val="21"/>
                <w:szCs w:val="21"/>
              </w:rPr>
            </w:pPr>
            <w:r>
              <w:rPr>
                <w:rFonts w:hint="eastAsia" w:ascii="宋体" w:hAnsi="宋体" w:cs="宋体"/>
                <w:color w:val="auto"/>
                <w:sz w:val="21"/>
                <w:szCs w:val="21"/>
              </w:rPr>
              <w:t>收件人：吉林省晟裕工程咨询有限公司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4.2.3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响应文件是否退还</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否</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5.1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磋商时间和地点</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磋商时间：同递交响应文件截止时间</w:t>
            </w:r>
          </w:p>
          <w:p>
            <w:pPr>
              <w:spacing w:line="312" w:lineRule="auto"/>
              <w:jc w:val="left"/>
              <w:rPr>
                <w:rFonts w:ascii="宋体" w:hAnsi="宋体" w:cs="宋体"/>
                <w:color w:val="auto"/>
                <w:sz w:val="21"/>
                <w:szCs w:val="21"/>
              </w:rPr>
            </w:pPr>
            <w:r>
              <w:rPr>
                <w:rFonts w:hint="eastAsia" w:ascii="宋体" w:hAnsi="宋体" w:cs="宋体"/>
                <w:color w:val="auto"/>
                <w:sz w:val="21"/>
                <w:szCs w:val="21"/>
              </w:rPr>
              <w:t>磋商地点：同递交响应文件地点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5.2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磋商前会议程序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kern w:val="0"/>
                <w:sz w:val="21"/>
                <w:szCs w:val="21"/>
              </w:rPr>
            </w:pPr>
            <w:r>
              <w:rPr>
                <w:rFonts w:hint="eastAsia" w:ascii="宋体" w:hAnsi="宋体" w:cs="宋体"/>
                <w:bCs/>
                <w:color w:val="auto"/>
                <w:kern w:val="0"/>
                <w:sz w:val="21"/>
                <w:szCs w:val="21"/>
              </w:rPr>
              <w:t>密封情况检查：由供应商代表检查响应文件密封情况；</w:t>
            </w:r>
          </w:p>
          <w:p>
            <w:pPr>
              <w:spacing w:line="312" w:lineRule="auto"/>
              <w:jc w:val="left"/>
              <w:rPr>
                <w:rFonts w:ascii="宋体" w:hAnsi="宋体" w:cs="宋体"/>
                <w:color w:val="auto"/>
                <w:sz w:val="21"/>
                <w:szCs w:val="21"/>
              </w:rPr>
            </w:pPr>
            <w:r>
              <w:rPr>
                <w:rFonts w:hint="eastAsia" w:ascii="宋体" w:hAnsi="宋体" w:cs="宋体"/>
                <w:bCs/>
                <w:color w:val="auto"/>
                <w:kern w:val="0"/>
                <w:sz w:val="21"/>
                <w:szCs w:val="21"/>
              </w:rPr>
              <w:t>磋商顺序：按递交响应文件顺序。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6.1.1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磋商小组的组建</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磋商小组构成：</w:t>
            </w:r>
            <w:r>
              <w:rPr>
                <w:rFonts w:hint="eastAsia" w:ascii="宋体" w:hAnsi="宋体" w:cs="宋体"/>
                <w:color w:val="auto"/>
                <w:sz w:val="21"/>
                <w:szCs w:val="21"/>
              </w:rPr>
              <w:t>社会专家</w:t>
            </w:r>
            <w:r>
              <w:rPr>
                <w:rFonts w:ascii="宋体" w:hAnsi="宋体" w:cs="宋体"/>
                <w:color w:val="auto"/>
                <w:sz w:val="21"/>
                <w:szCs w:val="21"/>
              </w:rPr>
              <w:t>4</w:t>
            </w:r>
            <w:r>
              <w:rPr>
                <w:rFonts w:hint="eastAsia" w:ascii="宋体" w:hAnsi="宋体" w:cs="宋体"/>
                <w:color w:val="auto"/>
                <w:sz w:val="21"/>
                <w:szCs w:val="21"/>
              </w:rPr>
              <w:t>人（经济类</w:t>
            </w:r>
            <w:r>
              <w:rPr>
                <w:rFonts w:ascii="宋体" w:hAnsi="宋体" w:cs="宋体"/>
                <w:color w:val="auto"/>
                <w:sz w:val="21"/>
                <w:szCs w:val="21"/>
              </w:rPr>
              <w:t>2</w:t>
            </w:r>
            <w:r>
              <w:rPr>
                <w:rFonts w:hint="eastAsia" w:ascii="宋体" w:hAnsi="宋体" w:cs="宋体"/>
                <w:color w:val="auto"/>
                <w:sz w:val="21"/>
                <w:szCs w:val="21"/>
              </w:rPr>
              <w:t>人、技术类</w:t>
            </w:r>
            <w:r>
              <w:rPr>
                <w:rFonts w:ascii="宋体" w:hAnsi="宋体" w:cs="宋体"/>
                <w:color w:val="auto"/>
                <w:sz w:val="21"/>
                <w:szCs w:val="21"/>
              </w:rPr>
              <w:t>2</w:t>
            </w:r>
            <w:r>
              <w:rPr>
                <w:rFonts w:hint="eastAsia" w:ascii="宋体" w:hAnsi="宋体" w:cs="宋体"/>
                <w:color w:val="auto"/>
                <w:sz w:val="21"/>
                <w:szCs w:val="21"/>
              </w:rPr>
              <w:t>人）和1名采购人代表；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7.1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成交结果公告媒介</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中国政府采购网、中国招标投标公共服务平台、东北师范大学政府采购与招标管理中心网站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7.3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履约保证金</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金额：合同金额的3% </w:t>
            </w:r>
          </w:p>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保证金形式：转账</w:t>
            </w:r>
          </w:p>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递交时间：签订合同前5日缴纳。</w:t>
            </w:r>
          </w:p>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返还方式：工程验收合格后转为工程质保金，质保期结束后无息退回。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7.4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是否授权磋商小组确定成交供应商</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否，推荐3名成交候选供应商。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4"/>
                <w:sz w:val="21"/>
                <w:szCs w:val="21"/>
              </w:rPr>
            </w:pPr>
            <w:r>
              <w:rPr>
                <w:rFonts w:hint="eastAsia" w:ascii="宋体" w:hAnsi="宋体" w:cs="宋体"/>
                <w:color w:val="auto"/>
                <w:sz w:val="21"/>
                <w:szCs w:val="21"/>
              </w:rPr>
              <w:t>10</w:t>
            </w:r>
          </w:p>
        </w:tc>
        <w:tc>
          <w:tcPr>
            <w:tcW w:w="9062"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资格审查方式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rPr>
            </w:pPr>
            <w:r>
              <w:rPr>
                <w:rFonts w:hint="eastAsia" w:ascii="宋体" w:hAnsi="宋体" w:cs="宋体"/>
                <w:bCs/>
                <w:color w:val="auto"/>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color w:val="auto"/>
                <w:sz w:val="21"/>
                <w:szCs w:val="21"/>
              </w:rPr>
              <w:t>报价方式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lang w:val="zh-CN"/>
              </w:rPr>
            </w:pPr>
            <w:r>
              <w:rPr>
                <w:rFonts w:hint="eastAsia" w:ascii="宋体" w:hAnsi="宋体" w:cs="宋体"/>
                <w:bCs/>
                <w:color w:val="auto"/>
                <w:sz w:val="21"/>
                <w:szCs w:val="21"/>
              </w:rPr>
              <w:t>采用综合单价方式。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color w:val="auto"/>
                <w:sz w:val="21"/>
                <w:szCs w:val="21"/>
              </w:rPr>
              <w:t>合同方式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lang w:val="zh-CN"/>
              </w:rPr>
            </w:pPr>
            <w:r>
              <w:rPr>
                <w:rFonts w:hint="eastAsia" w:ascii="宋体" w:hAnsi="宋体" w:cs="宋体"/>
                <w:bCs/>
                <w:color w:val="auto"/>
                <w:sz w:val="21"/>
                <w:szCs w:val="21"/>
              </w:rPr>
              <w:t>固定单价合同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lang w:val="zh-CN"/>
              </w:rPr>
              <w:t>采购代理服务费</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sz w:val="21"/>
                <w:szCs w:val="21"/>
              </w:rPr>
            </w:pPr>
            <w:r>
              <w:rPr>
                <w:rFonts w:hint="eastAsia" w:ascii="宋体" w:hAnsi="宋体" w:cs="宋体"/>
                <w:bCs/>
                <w:color w:val="auto"/>
                <w:sz w:val="21"/>
                <w:szCs w:val="21"/>
              </w:rPr>
              <w:t>参照国家发展计划委员会计价格[2002]1980号文件规定的工程类标准计取。采购代理机构按</w:t>
            </w:r>
            <w:r>
              <w:rPr>
                <w:rFonts w:hint="eastAsia" w:ascii="宋体" w:hAnsi="宋体" w:cs="宋体"/>
                <w:color w:val="auto"/>
                <w:sz w:val="21"/>
                <w:szCs w:val="21"/>
              </w:rPr>
              <w:t>国家发展计划委员会计价格【2015】299号</w:t>
            </w:r>
            <w:r>
              <w:rPr>
                <w:rFonts w:hint="eastAsia" w:ascii="宋体" w:hAnsi="宋体" w:cs="宋体"/>
                <w:bCs/>
                <w:color w:val="auto"/>
                <w:sz w:val="21"/>
                <w:szCs w:val="21"/>
              </w:rPr>
              <w:t>，按6折向成交供应商收取。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10.5</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snapToGrid w:val="0"/>
                <w:color w:val="auto"/>
                <w:spacing w:val="-4"/>
                <w:kern w:val="0"/>
                <w:sz w:val="21"/>
                <w:szCs w:val="21"/>
                <w:lang w:val="zh-CN"/>
              </w:rPr>
              <w:t>质保期及服务要求</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hAnsi="宋体" w:cs="宋体"/>
                <w:bCs/>
                <w:color w:val="auto"/>
                <w:kern w:val="0"/>
                <w:sz w:val="21"/>
                <w:szCs w:val="21"/>
              </w:rPr>
              <w:t>按国家规定执行。</w:t>
            </w:r>
          </w:p>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hAnsi="宋体" w:cs="宋体"/>
                <w:bCs/>
                <w:color w:val="auto"/>
                <w:kern w:val="0"/>
                <w:sz w:val="21"/>
                <w:szCs w:val="21"/>
              </w:rPr>
              <w:t>接到维修信息（甲方或使用单位发出），成交供应商需4小时内到达现场，及时采取措施进行维修，无特殊情况，从接到维修信息至维修完毕原则上不允许超过48小时。成交供应商如未能在上述规定时间内完成维修，或成交供应商预留的联系方式未能联系上，甲方有权使用质保金邀请第三方开展维修，成交供应商无条件对维修结算金额同意并认可。在保修期内，要求施工单位每学期开学期间到使用单位回访，主动发现问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10.6</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color w:val="auto"/>
                <w:sz w:val="21"/>
                <w:szCs w:val="21"/>
              </w:rPr>
              <w:t>付款方式</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cs="宋体"/>
                <w:bCs/>
                <w:color w:val="auto"/>
                <w:kern w:val="0"/>
                <w:sz w:val="21"/>
                <w:szCs w:val="21"/>
              </w:rPr>
              <w:t>无预付款，工程竣工验收合格后凭有效发票支付合同金额的60-70%；结算审计完成后，2023年底前支付至结算金额的100%。（注：</w:t>
            </w:r>
            <w:r>
              <w:rPr>
                <w:rFonts w:hint="eastAsia" w:ascii="宋体" w:cs="宋体"/>
                <w:bCs/>
                <w:color w:val="auto"/>
                <w:kern w:val="0"/>
                <w:sz w:val="21"/>
                <w:szCs w:val="21"/>
                <w:lang w:val="en-US" w:eastAsia="zh-CN"/>
              </w:rPr>
              <w:t>成交供应商</w:t>
            </w:r>
            <w:r>
              <w:rPr>
                <w:rFonts w:hint="eastAsia" w:ascii="宋体" w:cs="宋体"/>
                <w:bCs/>
                <w:color w:val="auto"/>
                <w:kern w:val="0"/>
                <w:sz w:val="21"/>
                <w:szCs w:val="21"/>
              </w:rPr>
              <w:t>3%的质保金已缴纳至</w:t>
            </w:r>
            <w:r>
              <w:rPr>
                <w:rFonts w:hint="eastAsia" w:ascii="宋体" w:cs="宋体"/>
                <w:bCs/>
                <w:color w:val="auto"/>
                <w:kern w:val="0"/>
                <w:sz w:val="21"/>
                <w:szCs w:val="21"/>
                <w:lang w:val="en-US" w:eastAsia="zh-CN"/>
              </w:rPr>
              <w:t>采购</w:t>
            </w:r>
            <w:r>
              <w:rPr>
                <w:rFonts w:hint="eastAsia" w:ascii="宋体" w:cs="宋体"/>
                <w:bCs/>
                <w:color w:val="auto"/>
                <w:kern w:val="0"/>
                <w:sz w:val="21"/>
                <w:szCs w:val="21"/>
              </w:rPr>
              <w:t>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10.7</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所属行业</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hAnsi="宋体" w:cs="宋体"/>
                <w:bCs/>
                <w:color w:val="auto"/>
                <w:kern w:val="0"/>
                <w:sz w:val="21"/>
                <w:szCs w:val="21"/>
              </w:rPr>
              <w:t>本项目所属行业为：建筑业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10.8</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采购人其他要求</w:t>
            </w:r>
          </w:p>
        </w:tc>
        <w:tc>
          <w:tcPr>
            <w:tcW w:w="6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312" w:lineRule="auto"/>
              <w:jc w:val="left"/>
              <w:rPr>
                <w:rFonts w:ascii="宋体" w:hAnsi="宋体" w:cs="宋体"/>
                <w:bCs/>
                <w:color w:val="auto"/>
                <w:sz w:val="21"/>
                <w:szCs w:val="21"/>
              </w:rPr>
            </w:pPr>
            <w:r>
              <w:rPr>
                <w:rFonts w:hint="eastAsia" w:ascii="宋体" w:hAnsi="宋体" w:cs="宋体"/>
                <w:bCs/>
                <w:color w:val="auto"/>
                <w:sz w:val="21"/>
                <w:szCs w:val="21"/>
              </w:rPr>
              <w:t>不得随意更换项目经理，如有变更须征得采购人同意。</w:t>
            </w:r>
          </w:p>
          <w:p>
            <w:pPr>
              <w:autoSpaceDE w:val="0"/>
              <w:autoSpaceDN w:val="0"/>
              <w:adjustRightInd w:val="0"/>
              <w:snapToGrid w:val="0"/>
              <w:spacing w:line="312" w:lineRule="auto"/>
              <w:jc w:val="left"/>
              <w:rPr>
                <w:color w:val="auto"/>
              </w:rPr>
            </w:pPr>
            <w:r>
              <w:rPr>
                <w:rFonts w:hint="eastAsia" w:ascii="宋体" w:hAnsi="宋体" w:cs="宋体"/>
                <w:bCs/>
                <w:color w:val="auto"/>
                <w:sz w:val="21"/>
                <w:szCs w:val="21"/>
              </w:rPr>
              <w:t>受疫情影响，成交供应商须无条件满足采购人疫情防控相关要求，并且严格按照采购人疫情防控要求落实各项举措，因成交供应商原因给采购人造成的疫情防控风险和责任由成交供应商全部承担。请供应商充分考虑疫情防控情况下施工风险和难度，以及施工过程中的资金和人员投入，采购人不再为成交供应商实际施工过程中采取采购人要求的全部疫情防控措施和手段另行支付费用，如参与本项目则认为认可并接受采购人相关要求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10.9</w:t>
            </w:r>
          </w:p>
        </w:tc>
        <w:tc>
          <w:tcPr>
            <w:tcW w:w="20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line="312" w:lineRule="auto"/>
              <w:jc w:val="center"/>
              <w:rPr>
                <w:rFonts w:ascii="宋体" w:hAnsi="宋体" w:cs="宋体"/>
                <w:bCs/>
                <w:color w:val="auto"/>
                <w:sz w:val="21"/>
                <w:szCs w:val="21"/>
              </w:rPr>
            </w:pPr>
            <w:r>
              <w:rPr>
                <w:rFonts w:hint="eastAsia" w:ascii="宋体" w:hAnsi="宋体" w:cs="宋体"/>
                <w:bCs/>
                <w:color w:val="auto"/>
                <w:sz w:val="21"/>
                <w:szCs w:val="21"/>
              </w:rPr>
              <w:t>防疫要求</w:t>
            </w:r>
          </w:p>
        </w:tc>
        <w:tc>
          <w:tcPr>
            <w:tcW w:w="6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rPr>
                <w:rFonts w:ascii="宋体" w:hAnsi="宋体" w:cs="宋体"/>
                <w:bCs/>
                <w:color w:val="auto"/>
                <w:sz w:val="21"/>
                <w:szCs w:val="21"/>
              </w:rPr>
            </w:pPr>
            <w:r>
              <w:rPr>
                <w:rFonts w:hint="eastAsia" w:ascii="宋体" w:hAnsi="宋体" w:cs="宋体"/>
                <w:bCs/>
                <w:color w:val="auto"/>
                <w:sz w:val="21"/>
                <w:szCs w:val="21"/>
              </w:rPr>
              <w:t>各委托代理人需提前下载《吉祥码》，并按要求进行注册绑定工作，入场前出示，吉祥码为绿色，出示通信行程卡为绿卡，佩戴N95口罩，提供72小时内</w:t>
            </w:r>
            <w:r>
              <w:rPr>
                <w:rFonts w:ascii="宋体" w:hAnsi="宋体" w:cs="宋体"/>
                <w:bCs/>
                <w:color w:val="auto"/>
                <w:sz w:val="21"/>
                <w:szCs w:val="21"/>
              </w:rPr>
              <w:t>的</w:t>
            </w:r>
            <w:r>
              <w:rPr>
                <w:rFonts w:hint="eastAsia" w:ascii="宋体" w:hAnsi="宋体" w:cs="宋体"/>
                <w:bCs/>
                <w:color w:val="auto"/>
                <w:sz w:val="21"/>
                <w:szCs w:val="21"/>
              </w:rPr>
              <w:t>核酸检测证明，且近14天无中高风险地区行程记录，经现场测温，体温符合正常标准后方可进入会场递交响应文件，如不符合以上要求将拒绝其递交响应文件，由此造成的后果由供应商自行承担。</w:t>
            </w:r>
          </w:p>
          <w:p>
            <w:pPr>
              <w:adjustRightInd w:val="0"/>
              <w:snapToGrid w:val="0"/>
              <w:spacing w:before="78" w:beforeLines="25" w:line="312" w:lineRule="auto"/>
              <w:rPr>
                <w:rFonts w:ascii="宋体" w:hAnsi="宋体" w:cs="宋体"/>
                <w:bCs/>
                <w:color w:val="auto"/>
                <w:kern w:val="0"/>
                <w:sz w:val="21"/>
                <w:szCs w:val="21"/>
              </w:rPr>
            </w:pPr>
            <w:r>
              <w:rPr>
                <w:rFonts w:hint="eastAsia" w:hAnsi="宋体" w:cs="宋体"/>
                <w:bCs/>
                <w:color w:val="auto"/>
                <w:sz w:val="21"/>
                <w:szCs w:val="21"/>
              </w:rPr>
              <w:t>以上要求须根据当地政府最新防疫政策适时调整，如有变化另行通知。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10.10</w:t>
            </w:r>
          </w:p>
        </w:tc>
        <w:tc>
          <w:tcPr>
            <w:tcW w:w="90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line="312" w:lineRule="auto"/>
              <w:rPr>
                <w:rFonts w:hAnsi="宋体" w:cs="宋体"/>
                <w:bCs/>
                <w:color w:val="auto"/>
                <w:sz w:val="21"/>
                <w:szCs w:val="21"/>
              </w:rPr>
            </w:pPr>
            <w:r>
              <w:rPr>
                <w:rFonts w:ascii="宋体" w:hAnsi="宋体" w:cs="宋体"/>
                <w:color w:val="auto"/>
                <w:sz w:val="21"/>
                <w:szCs w:val="21"/>
              </w:rPr>
              <w:t>依据</w:t>
            </w:r>
            <w:r>
              <w:rPr>
                <w:rFonts w:hint="eastAsia" w:ascii="宋体" w:hAnsi="宋体" w:cs="宋体"/>
                <w:bCs/>
                <w:color w:val="auto"/>
                <w:sz w:val="21"/>
                <w:szCs w:val="21"/>
              </w:rPr>
              <w:t>《政府采购促进中小企业发展管理办法》</w:t>
            </w:r>
            <w:r>
              <w:rPr>
                <w:rFonts w:ascii="宋体" w:hAnsi="宋体" w:cs="宋体"/>
                <w:color w:val="auto"/>
                <w:sz w:val="21"/>
                <w:szCs w:val="21"/>
              </w:rPr>
              <w:t>规定享受扶持政策获得政府采购合同的，小微企业不得将合同分包给大中型企业，中型企业不得将合同分包给大型企业</w:t>
            </w:r>
            <w:r>
              <w:rPr>
                <w:rFonts w:hint="eastAsia" w:ascii="宋体" w:hAnsi="宋体" w:cs="宋体"/>
                <w:color w:val="auto"/>
                <w:sz w:val="21"/>
                <w:szCs w:val="21"/>
              </w:rPr>
              <w:t>。</w:t>
            </w:r>
          </w:p>
        </w:tc>
      </w:tr>
    </w:tbl>
    <w:p>
      <w:pPr>
        <w:spacing w:line="312" w:lineRule="auto"/>
        <w:rPr>
          <w:rFonts w:ascii="宋体" w:hAnsi="宋体" w:cs="宋体"/>
          <w:vanish/>
          <w:color w:val="auto"/>
        </w:rPr>
      </w:pPr>
    </w:p>
    <w:p>
      <w:pPr>
        <w:adjustRightInd w:val="0"/>
        <w:snapToGrid w:val="0"/>
        <w:spacing w:line="312" w:lineRule="auto"/>
        <w:jc w:val="left"/>
        <w:rPr>
          <w:rFonts w:ascii="宋体" w:hAnsi="宋体" w:cs="宋体"/>
          <w:color w:val="auto"/>
          <w:sz w:val="21"/>
          <w:szCs w:val="21"/>
        </w:rPr>
      </w:pPr>
      <w:bookmarkStart w:id="63" w:name="page19"/>
      <w:bookmarkEnd w:id="63"/>
      <w:r>
        <w:rPr>
          <w:rFonts w:hint="eastAsia" w:ascii="宋体" w:hAnsi="宋体" w:cs="宋体"/>
          <w:color w:val="auto"/>
          <w:sz w:val="21"/>
          <w:szCs w:val="21"/>
        </w:rPr>
        <w:t>注：竞争性磋商公告与竞争性磋商文件不一致之处以文件为准。</w:t>
      </w:r>
    </w:p>
    <w:p>
      <w:pPr>
        <w:rPr>
          <w:rFonts w:ascii="宋体" w:hAnsi="宋体" w:cs="宋体"/>
          <w:b/>
          <w:bCs/>
          <w:color w:val="auto"/>
          <w:sz w:val="21"/>
          <w:szCs w:val="21"/>
        </w:rPr>
      </w:pPr>
      <w:bookmarkStart w:id="64" w:name="_Toc8722_WPSOffice_Level2"/>
      <w:bookmarkStart w:id="65" w:name="_Toc32448_WPSOffice_Level2"/>
      <w:bookmarkStart w:id="66" w:name="_Toc4265_WPSOffice_Level2"/>
      <w:r>
        <w:rPr>
          <w:rFonts w:hint="eastAsia" w:ascii="宋体" w:hAnsi="宋体" w:cs="宋体"/>
          <w:b/>
          <w:bCs/>
          <w:color w:val="auto"/>
          <w:sz w:val="21"/>
          <w:szCs w:val="21"/>
        </w:rPr>
        <w:br w:type="page"/>
      </w:r>
    </w:p>
    <w:p>
      <w:pPr>
        <w:spacing w:line="300" w:lineRule="auto"/>
        <w:jc w:val="left"/>
        <w:rPr>
          <w:rFonts w:ascii="宋体" w:hAnsi="宋体" w:cs="宋体"/>
          <w:b/>
          <w:bCs/>
          <w:color w:val="auto"/>
          <w:sz w:val="21"/>
          <w:szCs w:val="21"/>
        </w:rPr>
      </w:pPr>
      <w:r>
        <w:rPr>
          <w:rFonts w:hint="eastAsia" w:ascii="宋体" w:hAnsi="宋体" w:cs="宋体"/>
          <w:b/>
          <w:bCs/>
          <w:color w:val="auto"/>
          <w:sz w:val="21"/>
          <w:szCs w:val="21"/>
        </w:rPr>
        <w:t>1.总则</w:t>
      </w:r>
      <w:bookmarkEnd w:id="64"/>
      <w:bookmarkEnd w:id="65"/>
      <w:bookmarkEnd w:id="66"/>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1.1采购项目概况</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1.1.1根据有关法律、法规和规章的规定，本采购项目已具备采购条件，现对本项目施工进行采购。</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1.1.2采购人：见供应商须知前附表。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1.1.3采购代理机构：见供应商须知前附表。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1.1.4项目名称及编号：见供应商须知前附表。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1.2采购项目的资金落实情况</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1.2.1资金落实情况：见供应商须知前附表。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1.3采购范围、合同履行期限（计划工期）、工程地点、质量要求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1.3.1采购范围：见供应商须知前附表。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1.3.2合同履行期限（计划工期）：见供应商须知前附表。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1.3.3工程地点：见供应商须知前附表。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1.3.4质量要求：见供应商须知前附表。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1.4供应商资格要求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1.4.1供应商应具备承担本采购项目资质条件、能力和信誉：见供应商须知前附表。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1.4.2</w:t>
      </w:r>
      <w:r>
        <w:rPr>
          <w:rFonts w:hint="eastAsia" w:ascii="宋体" w:hAnsi="宋体" w:cs="宋体"/>
          <w:bCs/>
          <w:color w:val="auto"/>
          <w:sz w:val="21"/>
          <w:szCs w:val="21"/>
        </w:rPr>
        <w:t>本次采购不接受联合体参与。</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1.4.3供应商不得存在下列情形之一：</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（1）为采购人不具有独立法人资格的附属机构(单位)；</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（2）为本项目前期准备提供设计或咨询服务的，但设计施工总承包的除外；</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（3）为本项目的监理人；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（4）为本项目的代建人；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（5）为本项目提供采购代理服务的；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（6）与本项目的监理人或代建人或采购代理机构同为一个法定代表人的；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（7）与本项目的监理人或代建人或采购代理机构相互控股或参股的；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（8）与本项目的监理人或代建人或采购代理机构相互任职或工作的；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（9）被责令停业的；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（10）被依法暂停或者取消投标资格；</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（11）被责令停产停业、暂扣或者吊销许可证、暂扣或者吊销执照；</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（12）进入清算程序，或被宣告破产，或其他丧失履约能力的情形；</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（13）在最近三年内发生重大工程质量问题（以相关行业主管部门的行政处罚决定或司法机关出具的有关法律文书为准）；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（14）法律法规或供应商须知前附表规定的其他情形。</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1.5 费用承担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供应商准备和参与本项目活动发生的费用自理。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1.6 保密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参与采购活动的各方应对竞争性磋商文件和响应文件中的商业和技术等秘密保密，否则应承担相应的法律责任。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1.7 语言文字</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响应文件使用的语言文字为中文。专用术语使用外文的，应附有中文注释。</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1.8 计量单位</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所有计量均采用中华人民共和国法定计量单位。</w:t>
      </w:r>
    </w:p>
    <w:p>
      <w:pPr>
        <w:adjustRightInd w:val="0"/>
        <w:snapToGrid w:val="0"/>
        <w:spacing w:line="300" w:lineRule="auto"/>
        <w:ind w:firstLine="420" w:firstLineChars="200"/>
        <w:jc w:val="left"/>
        <w:rPr>
          <w:rFonts w:ascii="宋体" w:hAnsi="宋体" w:cs="宋体"/>
          <w:color w:val="auto"/>
          <w:sz w:val="21"/>
          <w:szCs w:val="21"/>
        </w:rPr>
      </w:pPr>
      <w:bookmarkStart w:id="67" w:name="_Toc13249_WPSOffice_Level2"/>
      <w:bookmarkStart w:id="68" w:name="_Toc10041_WPSOffice_Level2"/>
      <w:bookmarkStart w:id="69" w:name="_Toc31649_WPSOffice_Level2"/>
      <w:r>
        <w:rPr>
          <w:rFonts w:hint="eastAsia" w:ascii="宋体" w:hAnsi="宋体" w:cs="宋体"/>
          <w:color w:val="auto"/>
          <w:sz w:val="21"/>
          <w:szCs w:val="21"/>
        </w:rPr>
        <w:t>1.9 踏勘现场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1.9.1 供应商须知前附表规定组织踏勘现场的，采购人按供应商须知前附表规定的时间、地点组织供应商踏勘项目现场。 </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1.9.2 供应商踏勘现场发生的费用自理。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1.9.3 除采购人的原因外，供应商自行负责在踏勘现场中所发生的人员伤亡和财产损失。</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1.9.4 采购人在踏勘现场中介绍的工程场地和相关的周边环境情况，供应商在编制响应文件时参考，采购人不对供应商据此作出的判断和决策负责。</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1.10磋商预备会</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1.10.1供应商须知前附表规定召开磋商预备会的，采购人按供应商须知前附表规定的时间和地点召开磋商预备会，澄清供应商提出的问题。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1.10.2供应商应按供应商须知前附表规定的时间和形式将提出的问题送达采购人，以便采购人在会议期间澄清。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1.10.3磋商预备会后，采购人将对供应商所提问题的澄清，以供应商须知前附表规定的形式通知所有购买竞争性磋商文件的供应商。该澄清内容为竞争性磋商文件的组成部分。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1.11分包、转包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不允许。</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1.12</w:t>
      </w:r>
      <w:r>
        <w:rPr>
          <w:rFonts w:hint="eastAsia" w:ascii="宋体" w:hAnsi="宋体" w:cs="宋体"/>
          <w:bCs/>
          <w:color w:val="auto"/>
          <w:sz w:val="21"/>
          <w:szCs w:val="21"/>
        </w:rPr>
        <w:t>偏离</w:t>
      </w:r>
    </w:p>
    <w:p>
      <w:pPr>
        <w:adjustRightInd w:val="0"/>
        <w:snapToGrid w:val="0"/>
        <w:spacing w:line="300" w:lineRule="auto"/>
        <w:ind w:firstLine="420" w:firstLineChars="200"/>
        <w:jc w:val="left"/>
        <w:rPr>
          <w:rFonts w:ascii="宋体" w:hAnsi="宋体" w:cs="宋体"/>
          <w:bCs/>
          <w:color w:val="auto"/>
          <w:sz w:val="21"/>
          <w:szCs w:val="21"/>
        </w:rPr>
      </w:pPr>
      <w:r>
        <w:rPr>
          <w:rFonts w:hint="eastAsia" w:ascii="宋体" w:hAnsi="宋体" w:cs="宋体"/>
          <w:bCs/>
          <w:color w:val="auto"/>
          <w:sz w:val="21"/>
          <w:szCs w:val="21"/>
        </w:rPr>
        <w:t>见</w:t>
      </w:r>
      <w:r>
        <w:rPr>
          <w:rFonts w:hint="eastAsia" w:ascii="宋体" w:hAnsi="宋体" w:cs="宋体"/>
          <w:color w:val="auto"/>
          <w:sz w:val="21"/>
          <w:szCs w:val="21"/>
        </w:rPr>
        <w:t>供应商须知前附表</w:t>
      </w:r>
    </w:p>
    <w:p>
      <w:pPr>
        <w:adjustRightInd w:val="0"/>
        <w:snapToGrid w:val="0"/>
        <w:spacing w:line="300" w:lineRule="auto"/>
        <w:jc w:val="left"/>
        <w:rPr>
          <w:rFonts w:ascii="宋体" w:hAnsi="宋体" w:cs="宋体"/>
          <w:b/>
          <w:bCs/>
          <w:color w:val="auto"/>
          <w:sz w:val="21"/>
          <w:szCs w:val="21"/>
        </w:rPr>
      </w:pPr>
      <w:r>
        <w:rPr>
          <w:rFonts w:hint="eastAsia" w:ascii="宋体" w:hAnsi="宋体" w:cs="宋体"/>
          <w:b/>
          <w:bCs/>
          <w:color w:val="auto"/>
          <w:sz w:val="21"/>
          <w:szCs w:val="21"/>
        </w:rPr>
        <w:t>2.竞争性磋商文件</w:t>
      </w:r>
      <w:bookmarkEnd w:id="67"/>
      <w:bookmarkEnd w:id="68"/>
      <w:bookmarkEnd w:id="69"/>
    </w:p>
    <w:p>
      <w:pPr>
        <w:adjustRightInd w:val="0"/>
        <w:snapToGrid w:val="0"/>
        <w:spacing w:line="300" w:lineRule="auto"/>
        <w:ind w:firstLine="420" w:firstLineChars="200"/>
        <w:jc w:val="left"/>
        <w:rPr>
          <w:rFonts w:ascii="宋体" w:hAnsi="宋体" w:cs="宋体"/>
          <w:color w:val="auto"/>
          <w:sz w:val="21"/>
          <w:szCs w:val="21"/>
        </w:rPr>
      </w:pPr>
      <w:bookmarkStart w:id="70" w:name="_Toc29477_WPSOffice_Level2"/>
      <w:bookmarkStart w:id="71" w:name="_Toc12845_WPSOffice_Level2"/>
      <w:bookmarkStart w:id="72" w:name="_Toc25342_WPSOffice_Level2"/>
      <w:r>
        <w:rPr>
          <w:rFonts w:hint="eastAsia" w:ascii="宋体" w:hAnsi="宋体" w:cs="宋体"/>
          <w:color w:val="auto"/>
          <w:sz w:val="21"/>
          <w:szCs w:val="21"/>
        </w:rPr>
        <w:t>2.1竞争性磋商文件的组成</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本竞争性磋商文件包括：</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（1）竞争性磋商公告</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（2）供应商须知</w:t>
      </w:r>
      <w:r>
        <w:rPr>
          <w:rFonts w:hint="eastAsia" w:ascii="宋体" w:hAnsi="宋体" w:cs="宋体"/>
          <w:color w:val="auto"/>
          <w:sz w:val="21"/>
          <w:szCs w:val="21"/>
        </w:rPr>
        <w:tab/>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（3）评审方法</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（4）合同文本</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（5）工程量清单</w:t>
      </w:r>
      <w:r>
        <w:rPr>
          <w:rFonts w:hint="eastAsia" w:ascii="宋体" w:hAnsi="宋体" w:cs="宋体"/>
          <w:color w:val="auto"/>
          <w:sz w:val="21"/>
          <w:szCs w:val="21"/>
        </w:rPr>
        <w:tab/>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（6）图纸</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（7）磋商项目需求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（8）响应文件内容及格式要求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根据本章第 1.9 款、第 2.2 款和第 2.3 款对竞争性磋商文件所作的澄清、修改，构成竞争性磋商文件的组成部分。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2.2竞争性磋商文件的澄清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2.2.1供应商应仔细阅读和检查竞争性磋商文件的全部内容。如发现缺页或附件不全，应及时向采购人提出，以便补齐。如有疑问，应按供应商须知前附表规定的时间和形式将提出的问题送达采购人，要求采购人对竞争性磋商文件予以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2.2.2竞争性磋商文件的澄清以供应商须知前附表规定的形式发给所有购买竞争性磋商文件的供应商，但不指明澄清问题的来源。如果澄清发出的时间距供应商须知前附表规定的递交响应文件截止时间不足5天，澄清内容可能影响响应文件编制的，将相应延长递交响应文件截止时间。</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2.2.3供应商在收到澄清后，应按供应商须知前附表规定的时间和形式通知采购人，确认已收到该澄清。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2.2.4除非采购人认为确有必要答复，否则，采购人有权拒绝回复供应商在本章第 2.2.1 项规定的时间后的任何澄清要求。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2.3竞争性磋商文件的修改</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2.3.1采购人可以书面形式修改磋商文件，并通知所有已购买磋商文件的供应商。但如果修改磋商文件的时间距递交响应文件截止时间不足5天，并且修改内容影响响应文件编制的，将相应延长递交响应文件截止时间。</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2.3.2供应商收到修改内容后，应按供应商须知前附表规定的时间和形式通知采购人，确认已收到该修改。</w:t>
      </w:r>
    </w:p>
    <w:p>
      <w:pPr>
        <w:adjustRightInd w:val="0"/>
        <w:snapToGrid w:val="0"/>
        <w:spacing w:line="300" w:lineRule="auto"/>
        <w:jc w:val="left"/>
        <w:rPr>
          <w:rFonts w:ascii="宋体" w:hAnsi="宋体" w:cs="宋体"/>
          <w:b/>
          <w:bCs/>
          <w:color w:val="auto"/>
          <w:sz w:val="21"/>
          <w:szCs w:val="21"/>
        </w:rPr>
      </w:pPr>
      <w:r>
        <w:rPr>
          <w:rFonts w:hint="eastAsia" w:ascii="宋体" w:hAnsi="宋体" w:cs="宋体"/>
          <w:b/>
          <w:bCs/>
          <w:color w:val="auto"/>
          <w:sz w:val="21"/>
          <w:szCs w:val="21"/>
        </w:rPr>
        <w:t>3.响应文件</w:t>
      </w:r>
      <w:bookmarkEnd w:id="70"/>
      <w:bookmarkEnd w:id="71"/>
      <w:bookmarkEnd w:id="72"/>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3.1响应文件的组成</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3.1.1响应文件应包括下列内容：</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（1）磋商函及磋商函附录</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（2）报价一览表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（3）法定代表人身份证明或附有法定代表人身份证明的授权委托书</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（4）磋商保证金 </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（5）已标价工程量清单</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（6）项目管理机构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（7）施工组织设计</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（8）资格审查资料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其他材料供应商在磋商过程中作出的符合法律法规和竞争性磋商文件规定的澄清确认，构成响应文件的组成部分。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3.1.2 供应商须知前附表未要求提交磋商保证金的，响应文件不包括本章第 3.1.1（3）所指的磋商保证金。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3.2磋商报价</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3.2.1 供应商应按第五章“工程量清单”的要求填写相应表格。</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3.2.2 供应商在递交响应文件截止时间前修改磋商函中的磋商报价总额，应同时修改“已标价工程量清单”中的相应报价，报价总额为各分项金额之和。此修改须符合本章第4.3款的有关要求。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3.2.3 供应商的磋商报价不得超过采购预算，采购预算在供应商须知前附表中载明。</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3.2.4 已标价工程量清单的编制、不可竞争性费用及其他项目报价的填报应当按照现行的相关计价规范文件的要求，未按要求填报已标价工程量清单的，其响应文件将被否决。</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3.3磋商有效期</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3.3.1除供应商须知前附表另有规定外，磋商有效期为 60 天。</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3.3.2在磋商有效期内，供应商撤销响应文件的，应承担竞争性磋商文件和法律规定的责任。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文件失效，但供应商有权收回其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3.4.1供应商在递交响应文件的同时，应按供应商须知前附表规定的金额、形式和第八章“响应文件内容及格式要求”规定的磋商保证金格式递交磋商保证金，并作为其响应文件的组成部分。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3.4.2供应商不按本章第 3.4.1 项要求提交磋商保证金的，磋商小组将否决其响应文件。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3.4.3采购人向成交供应商发放成交通知书后五个工作日内，退还未成交供应商的磋商保证金，采购人与成交供应商签订合同后五个工作日内，退还成交供应商的磋商保证金。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3.4.4有下列情形之一的，磋商保证金将不予退还：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（1）供应商在竞争性磋商文件中规定的磋商有效期内撤回其响应文件；</w:t>
      </w:r>
    </w:p>
    <w:p>
      <w:pPr>
        <w:adjustRightInd w:val="0"/>
        <w:snapToGrid w:val="0"/>
        <w:spacing w:line="300" w:lineRule="auto"/>
        <w:ind w:firstLine="840" w:firstLineChars="400"/>
        <w:jc w:val="left"/>
        <w:rPr>
          <w:rFonts w:ascii="宋体" w:hAnsi="宋体" w:cs="宋体"/>
          <w:color w:val="auto"/>
          <w:sz w:val="21"/>
          <w:szCs w:val="21"/>
        </w:rPr>
      </w:pPr>
      <w:r>
        <w:rPr>
          <w:rFonts w:hint="eastAsia" w:ascii="宋体" w:hAnsi="宋体" w:cs="宋体"/>
          <w:color w:val="auto"/>
          <w:sz w:val="21"/>
          <w:szCs w:val="21"/>
        </w:rPr>
        <w:t>（2）成交供应商在规定期限内未能按规定签订合同或未按照竞争性磋商文件递交履约担保；</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（3）供应商采用不正当的手段骗取成交。</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 资格审查资料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除供应商须知前附表另有规定外，供应商应按下列规定提供资格审查资料，以证明其满足本章第 1.4 款规定的资质、信誉等要求。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3.5.1 “供应商基本情况表”应附供应商营业执照、资质证书和安全生产许可证等材料的复印件加盖公章。</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3.5.2 “近年财务状况表”应附经会计师事务所审计的财务审计报告，包括资产负债表、现金流量表、利润表和财务情况说明书等复印件加盖公章，具体年份要求见供应商须知前附表。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3.5.3 “近年完成的类似项目情况表”应附</w:t>
      </w:r>
      <w:r>
        <w:rPr>
          <w:rFonts w:hint="eastAsia" w:ascii="宋体" w:hAnsi="宋体" w:cs="宋体"/>
          <w:bCs/>
          <w:color w:val="auto"/>
          <w:kern w:val="0"/>
          <w:sz w:val="21"/>
          <w:szCs w:val="21"/>
        </w:rPr>
        <w:t>中标通知书或合同协议书或竣工验收报告</w:t>
      </w:r>
      <w:r>
        <w:rPr>
          <w:rFonts w:hint="eastAsia" w:ascii="宋体" w:hAnsi="宋体" w:cs="宋体"/>
          <w:color w:val="auto"/>
          <w:sz w:val="21"/>
          <w:szCs w:val="21"/>
        </w:rPr>
        <w:t>复印件加盖公章，具体年份要求见供应商须知前附表。每张表格只填写一个项目，并标明序号。</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3.5.4 “正在施工和新承接的项目情况表”应附中标通知书或合同协议书复印件加盖公章。每张表格只填写一个项目，并标明序号。</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3.6备选方案</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不允许递交备选方案</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3.7响应文件的编制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3.7.1响应文件应按第八章“响应文件内容及格式要求”进行编写，如有必要，可以增加附页，作为响应文件的组成部分。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3.7.2响应文件应当对竞争性磋商文件有关合同履行期限（计划工期）、磋商有效期、竞争性磋商项目需求、采购范围等实质性内容作出响应。响应文件在满足竞争性磋商文件实质性要求的基础上，可以提出比竞争性磋商文件要求更有利于采购人的承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3.7.3（1）响应文件应用不褪色的材料书写或打印，磋商函及对响应文件的澄清、说明和补正应由供应商的法定代表人或其授权的代理人签字。由供应商的法定代表人签字的，应附法定代表人身份证明，由代理人签字的，应附授权委托书，身份证明或授权委托书应符合第八章“响应文件内容及格式要求”的要求。响应文件应尽量避免涂改、行间插字或删除。如果出现上述情况，改动之处应由供应商的法定代表人或其授权的代理人签字或盖单位章。</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（3）响应文件的正本与副本应分别装订，并编制目录，响应文件需分册装订的，具体分册装订要求见供应商须知前附表规定。</w:t>
      </w:r>
    </w:p>
    <w:p>
      <w:pPr>
        <w:adjustRightInd w:val="0"/>
        <w:snapToGrid w:val="0"/>
        <w:spacing w:line="300" w:lineRule="auto"/>
        <w:jc w:val="left"/>
        <w:rPr>
          <w:rFonts w:ascii="宋体" w:hAnsi="宋体" w:cs="宋体"/>
          <w:b/>
          <w:bCs/>
          <w:color w:val="auto"/>
          <w:sz w:val="21"/>
          <w:szCs w:val="21"/>
        </w:rPr>
      </w:pPr>
      <w:bookmarkStart w:id="73" w:name="_Toc29135_WPSOffice_Level2"/>
      <w:bookmarkStart w:id="74" w:name="_Toc1667_WPSOffice_Level2"/>
      <w:bookmarkStart w:id="75" w:name="_Toc21869_WPSOffice_Level2"/>
      <w:r>
        <w:rPr>
          <w:rFonts w:hint="eastAsia" w:ascii="宋体" w:hAnsi="宋体" w:cs="宋体"/>
          <w:b/>
          <w:bCs/>
          <w:color w:val="auto"/>
          <w:sz w:val="21"/>
          <w:szCs w:val="21"/>
        </w:rPr>
        <w:t>4.磋商</w:t>
      </w:r>
      <w:bookmarkEnd w:id="73"/>
      <w:bookmarkEnd w:id="74"/>
      <w:bookmarkEnd w:id="75"/>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4.1响应文件的密封和标记</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4.1.1响应文件应密封包装，并在封套的封口处加盖供应商单位章或由供应商的法定代表人或其授权的代理人签字。</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4.1.2响应文件封套上应写明的内容见供应商须知前附表。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4.1.3未按本章第 4.1.1 项要求密封的响应文件，采购人将予以拒收。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4.2响应文件的递交</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4.2.1供应商应在供应商须知前附表规定的递交响应文件截止时间前递交响应文件。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4.2.2供应商递交响应文件的地点：见供应商须知前附表。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4.2.3除供应商须知前附表另有规定外，供应商所递交的响应文件不予退还。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4.2.4</w:t>
      </w:r>
      <w:r>
        <w:rPr>
          <w:rFonts w:hint="eastAsia" w:ascii="宋体" w:hAnsi="宋体" w:cs="宋体"/>
          <w:bCs/>
          <w:color w:val="auto"/>
          <w:sz w:val="21"/>
          <w:szCs w:val="21"/>
        </w:rPr>
        <w:t>采购人或采购代理机构收到响应文件后，如实记载响应文件的送达时间和密封情况，签收保存。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4.2.5逾期送达的响应文件，采购人将予以拒收。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4.3响应文件的修改与撤回</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4.3.1在本章第 4.2.1 项规定的递交响应文件截止时间前，供应商可以修改或撤回已递交的响应文件，但应以书面形式通知采购人。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4.3.2供应商修改或撤回已递交响应文件的书面通知应按照本章第 3.7.3（1）项的要求签字或盖章。采购人收到书面通知后，向供应商出具签收凭证。</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4.3.3供应商撤回响应文件的，采购人自收到供应商书面撤回通知之日起 5 日内退还已收取的磋商保证金。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4.3.4修改的内容为响应文件的组成部分。修改的响应文件应按照本章第 3 条、第 4 条的规定进行编制、密封、标记和递交，并标明“修改”字样。</w:t>
      </w:r>
    </w:p>
    <w:p>
      <w:pPr>
        <w:adjustRightInd w:val="0"/>
        <w:snapToGrid w:val="0"/>
        <w:spacing w:line="300" w:lineRule="auto"/>
        <w:jc w:val="left"/>
        <w:rPr>
          <w:rFonts w:ascii="宋体" w:hAnsi="宋体" w:cs="宋体"/>
          <w:b/>
          <w:bCs/>
          <w:color w:val="auto"/>
          <w:sz w:val="21"/>
          <w:szCs w:val="21"/>
        </w:rPr>
      </w:pPr>
      <w:bookmarkStart w:id="76" w:name="_Toc9554_WPSOffice_Level2"/>
      <w:bookmarkStart w:id="77" w:name="_Toc22501_WPSOffice_Level2"/>
      <w:bookmarkStart w:id="78" w:name="_Toc30491_WPSOffice_Level2"/>
      <w:r>
        <w:rPr>
          <w:rFonts w:hint="eastAsia" w:ascii="宋体" w:hAnsi="宋体" w:cs="宋体"/>
          <w:b/>
          <w:bCs/>
          <w:color w:val="auto"/>
          <w:sz w:val="21"/>
          <w:szCs w:val="21"/>
        </w:rPr>
        <w:t>5.</w:t>
      </w:r>
      <w:bookmarkEnd w:id="76"/>
      <w:bookmarkEnd w:id="77"/>
      <w:bookmarkEnd w:id="78"/>
      <w:r>
        <w:rPr>
          <w:rFonts w:hint="eastAsia" w:ascii="宋体" w:hAnsi="宋体" w:cs="宋体"/>
          <w:b/>
          <w:bCs/>
          <w:color w:val="auto"/>
          <w:sz w:val="21"/>
          <w:szCs w:val="21"/>
        </w:rPr>
        <w:t>递交响应文件截止时间及相关要求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5.1递交响应文件截止时间和地点</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采购人在本章第 4.2.1 项规定的递交响应文件截止时间（磋商时间）和供应商须知前附表规定的地点磋商，并邀请所有供应商的法定代表人或其委托代理人准时参加。</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5.2 磋商前会议程序</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主持人按下列程序进行磋商前会议：</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（1）宣布会议程序；</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（2）按照供应商须知前附表规定检查响应文件的密封情况。</w:t>
      </w:r>
    </w:p>
    <w:p>
      <w:pPr>
        <w:adjustRightInd w:val="0"/>
        <w:snapToGrid w:val="0"/>
        <w:spacing w:line="300" w:lineRule="auto"/>
        <w:jc w:val="left"/>
        <w:rPr>
          <w:rFonts w:ascii="宋体" w:hAnsi="宋体" w:cs="宋体"/>
          <w:b/>
          <w:bCs/>
          <w:color w:val="auto"/>
          <w:sz w:val="21"/>
          <w:szCs w:val="21"/>
        </w:rPr>
      </w:pPr>
      <w:bookmarkStart w:id="79" w:name="_Toc4234_WPSOffice_Level2"/>
      <w:bookmarkStart w:id="80" w:name="_Toc2339_WPSOffice_Level2"/>
      <w:bookmarkStart w:id="81" w:name="_Toc11934_WPSOffice_Level2"/>
      <w:r>
        <w:rPr>
          <w:rFonts w:hint="eastAsia" w:ascii="宋体" w:hAnsi="宋体" w:cs="宋体"/>
          <w:b/>
          <w:bCs/>
          <w:color w:val="auto"/>
          <w:sz w:val="21"/>
          <w:szCs w:val="21"/>
        </w:rPr>
        <w:t>6.</w:t>
      </w:r>
      <w:bookmarkEnd w:id="79"/>
      <w:bookmarkEnd w:id="80"/>
      <w:bookmarkEnd w:id="81"/>
      <w:r>
        <w:rPr>
          <w:rFonts w:hint="eastAsia" w:ascii="宋体" w:hAnsi="宋体" w:cs="宋体"/>
          <w:b/>
          <w:bCs/>
          <w:color w:val="auto"/>
          <w:sz w:val="21"/>
          <w:szCs w:val="21"/>
        </w:rPr>
        <w:t>评审</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6.1磋商小组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6.1.1磋商由采购人组建的磋商小组负责。磋商小组由采购人熟悉相关业务的代表，以及有关技术、经济等方面的专家组成。磋商小组成员人数以及技术、经济等方面专家的确定方式见供应商须知前附表。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6.1.2磋商小组成员有下列情形之一的，应当回避：</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（1）供应商或供应商主要负责人的近亲属；</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（2）项目主管部门或者行政监督部门的人员；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（3）与供应商有经济利益关系，可能影响对磋商公正评审的；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（4）曾因在采购、评审以及其他与采购有关活动中从事违法行为而受过行政处罚或刑事处罚的；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（5）与供应商有其他利害关系。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6.1.3 磋商过程中，磋商小组成员有回避事由、擅离职守或者因健康等原因不能继续磋商的，采购人有权更换。被更换的磋商小组成员作出的评审结论无效，由更换后的磋商小组成员重新进行评审。</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6.2 磋商原则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磋商活动遵循公平、公正、科学和择优的原则。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6.3磋商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6.3.1磋商小组按照第三章“评审方法”规定的方法、评审因素、标准和程序对响应文件进行评审。第三章“评审方法”没有规定的方法、评审因素和标准，不作为评审依据。</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6.3.2磋商程序</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（1）磋商时各供应商各派1-2名代表；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（2）在磋商过程中，磋商的任何一方不得向他人透露与磋商有关的技术资料或其他信息。</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6.3.3磋商完成后，磋商小组应当向采购人提交书面磋商报告和成交候选供应商名单。磋商小组推荐成交候选供应商的数量见供应商须知前附表。</w:t>
      </w:r>
    </w:p>
    <w:p>
      <w:pPr>
        <w:adjustRightInd w:val="0"/>
        <w:snapToGrid w:val="0"/>
        <w:spacing w:line="300" w:lineRule="auto"/>
        <w:jc w:val="left"/>
        <w:rPr>
          <w:rFonts w:ascii="宋体" w:hAnsi="宋体" w:cs="宋体"/>
          <w:b/>
          <w:bCs/>
          <w:color w:val="auto"/>
          <w:sz w:val="21"/>
          <w:szCs w:val="21"/>
        </w:rPr>
      </w:pPr>
      <w:bookmarkStart w:id="82" w:name="_Toc3522_WPSOffice_Level2"/>
      <w:bookmarkStart w:id="83" w:name="_Toc8674_WPSOffice_Level2"/>
      <w:bookmarkStart w:id="84" w:name="_Toc179_WPSOffice_Level2"/>
      <w:r>
        <w:rPr>
          <w:rFonts w:hint="eastAsia" w:ascii="宋体" w:hAnsi="宋体" w:cs="宋体"/>
          <w:b/>
          <w:bCs/>
          <w:color w:val="auto"/>
          <w:sz w:val="21"/>
          <w:szCs w:val="21"/>
        </w:rPr>
        <w:t>7.合同授予</w:t>
      </w:r>
      <w:bookmarkEnd w:id="82"/>
      <w:bookmarkEnd w:id="83"/>
      <w:bookmarkEnd w:id="84"/>
    </w:p>
    <w:p>
      <w:pPr>
        <w:adjustRightInd w:val="0"/>
        <w:snapToGrid w:val="0"/>
        <w:spacing w:line="300" w:lineRule="auto"/>
        <w:ind w:firstLine="420" w:firstLineChars="200"/>
        <w:jc w:val="left"/>
        <w:rPr>
          <w:rFonts w:ascii="宋体" w:hAnsi="宋体" w:cs="宋体"/>
          <w:color w:val="auto"/>
          <w:sz w:val="21"/>
          <w:szCs w:val="21"/>
        </w:rPr>
      </w:pPr>
      <w:bookmarkStart w:id="85" w:name="_Toc3844_WPSOffice_Level2"/>
      <w:bookmarkStart w:id="86" w:name="_Toc4486_WPSOffice_Level2"/>
      <w:bookmarkStart w:id="87" w:name="_Toc15000_WPSOffice_Level2"/>
      <w:r>
        <w:rPr>
          <w:rFonts w:hint="eastAsia" w:ascii="宋体" w:hAnsi="宋体" w:cs="宋体"/>
          <w:color w:val="auto"/>
          <w:sz w:val="21"/>
          <w:szCs w:val="21"/>
        </w:rPr>
        <w:t>7.1成交结果公告媒介</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详见供应商须知前附表。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7.2成交通知</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在本章第3.3款规定的磋商有效期内，采购人以书面形式向成交供应商发出成交通知书，同时将成交结果通知未成交的供应商。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7.3履约担保</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7.3.1 在签订合同前，成交供应商应按供应商须知前附表规定的金额、担保形式向采购人提交履约担保。</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7.3.2 成交供应商不能按本章第7.4.1项要求提交履约担保的，视为放弃成交，其磋商保证金不予退还，给采购人造成的损失超过磋商保证金数额的，成交供应商还应当对超过部分予以赔偿。</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7.4签订合同</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7.4.1采购人和成交供应商应当在成交通知书发出之日起 30 日内，根据竞争性磋商文件和成交供应商的响应文件订立书面合同。成交供应商无正当理由拒签合同或按照竞争性磋商文件要求递交履约担保，在签订合同时向采购人提出附加条件；给采购人造成的损失超过磋商保证金数额的，成交供应商还应当对超过部分予以赔偿。</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7.4.2发出成交通知书后，采购人无正当理由拒签合同或未按照竞争性磋商文件要求递交履约担保，或者在签订合同时向成交供应商提出附加条件的，采购人向成交供应商退还磋商保证金；给成交供应商造成损失的，还应当赔偿损失。</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7.4.3联合体成交的，联合体各方应当共同与采购人签订合同，就成交项目向采购人承担连带责任。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7.4.4对于骗取成交行为的成交供应商，采购人将：(1)取消其成交资格、采购代理服务费不予退还并处以经济处罚。（2)列入供应商黑名单库。(3)情节严重的依法追究刑事责任。</w:t>
      </w:r>
    </w:p>
    <w:p>
      <w:pPr>
        <w:adjustRightInd w:val="0"/>
        <w:snapToGrid w:val="0"/>
        <w:spacing w:line="300" w:lineRule="auto"/>
        <w:jc w:val="left"/>
        <w:rPr>
          <w:rFonts w:ascii="宋体" w:hAnsi="宋体" w:cs="宋体"/>
          <w:b/>
          <w:bCs/>
          <w:color w:val="auto"/>
          <w:sz w:val="21"/>
          <w:szCs w:val="21"/>
        </w:rPr>
      </w:pPr>
      <w:r>
        <w:rPr>
          <w:rFonts w:hint="eastAsia" w:ascii="宋体" w:hAnsi="宋体" w:cs="宋体"/>
          <w:b/>
          <w:bCs/>
          <w:color w:val="auto"/>
          <w:sz w:val="21"/>
          <w:szCs w:val="21"/>
        </w:rPr>
        <w:t>8. 重新采购</w:t>
      </w:r>
      <w:bookmarkEnd w:id="85"/>
      <w:bookmarkEnd w:id="86"/>
      <w:bookmarkEnd w:id="87"/>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8.1 重新采购</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有下列情形之一的，经专家评审后原则上重新组织采购：</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（1）符合专业条件的供应商或者对竞争性磋商文件作出实质响应的供应商未形成有效竞争的；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（2）出现影响采购公正的违法、违规行为的；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（3）所有供应商的报价均超出采购预算（视为未实质性响应磋商要求）的；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（4）其他符合规定应当终止的。</w:t>
      </w:r>
    </w:p>
    <w:p>
      <w:pPr>
        <w:adjustRightInd w:val="0"/>
        <w:snapToGrid w:val="0"/>
        <w:spacing w:line="300" w:lineRule="auto"/>
        <w:jc w:val="left"/>
        <w:rPr>
          <w:rFonts w:ascii="宋体" w:hAnsi="宋体" w:cs="宋体"/>
          <w:b/>
          <w:bCs/>
          <w:color w:val="auto"/>
          <w:sz w:val="21"/>
          <w:szCs w:val="21"/>
        </w:rPr>
      </w:pPr>
      <w:bookmarkStart w:id="88" w:name="_Toc21934_WPSOffice_Level2"/>
      <w:bookmarkStart w:id="89" w:name="_Toc14099_WPSOffice_Level2"/>
      <w:bookmarkStart w:id="90" w:name="_Toc14528_WPSOffice_Level2"/>
      <w:r>
        <w:rPr>
          <w:rFonts w:hint="eastAsia" w:ascii="宋体" w:hAnsi="宋体" w:cs="宋体"/>
          <w:b/>
          <w:bCs/>
          <w:color w:val="auto"/>
          <w:sz w:val="21"/>
          <w:szCs w:val="21"/>
        </w:rPr>
        <w:t>9.纪律和监督</w:t>
      </w:r>
      <w:bookmarkEnd w:id="88"/>
      <w:bookmarkEnd w:id="89"/>
      <w:bookmarkEnd w:id="90"/>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9.1 对采购人的纪律要求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采购人不得泄露采购磋商活动中应当保密的情况和资料，不得与供应商串通损害国家利益、社会公共利益或者他人合法权益。</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9.2 对供应商的纪律要求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供应商不得相互串通磋商或者与采购人串通磋商，不得向采购人或者磋商小组成员行贿谋取成交，不得以他人名义参与磋商或者以其他方式弄虚作假骗取成交；供应商不得以任何方式干扰、影响采购工作。</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9.3 对磋商小组成员的纪律要求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磋商小组成员不得收受他人的财物或者其他好处，不得向他人透露对响应文件的评审和比较、成交候选供应商的推荐情况以及磋商有关的其他情况。在磋商活动中，磋商小组成员应当客观、公正地履行职责，遵守职业道德，不得擅离职守，影响磋商程序正常进行，不得使用第三章“评审方法”没有规定的评审因素和标准进行磋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9.4 对与磋商活动有关的工作人员的纪律要求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与磋商活动有关的工作人员不得收受他人的财物或者其他好处，不得向他人透露对响应文件的评审和比较、成交候选供应商的推荐情况以及磋商有关的其他情况。在磋商活动中，与磋商活动有关的工作人员不得擅离职守，影响磋商程序正常进行。</w:t>
      </w:r>
    </w:p>
    <w:p>
      <w:pPr>
        <w:adjustRightInd w:val="0"/>
        <w:snapToGrid w:val="0"/>
        <w:spacing w:line="300" w:lineRule="auto"/>
        <w:jc w:val="left"/>
        <w:rPr>
          <w:rFonts w:ascii="宋体" w:hAnsi="宋体" w:cs="宋体"/>
          <w:b/>
          <w:bCs/>
          <w:color w:val="auto"/>
          <w:sz w:val="21"/>
          <w:szCs w:val="21"/>
        </w:rPr>
      </w:pPr>
      <w:bookmarkStart w:id="91" w:name="_Toc17915_WPSOffice_Level2"/>
      <w:bookmarkStart w:id="92" w:name="_Toc2700_WPSOffice_Level2"/>
      <w:bookmarkStart w:id="93" w:name="_Toc31466_WPSOffice_Level2"/>
      <w:r>
        <w:rPr>
          <w:rFonts w:hint="eastAsia" w:ascii="宋体" w:hAnsi="宋体" w:cs="宋体"/>
          <w:b/>
          <w:bCs/>
          <w:color w:val="auto"/>
          <w:sz w:val="21"/>
          <w:szCs w:val="21"/>
        </w:rPr>
        <w:t>10. 需要补充的其他内容</w:t>
      </w:r>
      <w:bookmarkEnd w:id="91"/>
      <w:bookmarkEnd w:id="92"/>
      <w:bookmarkEnd w:id="93"/>
    </w:p>
    <w:p>
      <w:pPr>
        <w:adjustRightInd w:val="0"/>
        <w:snapToGrid w:val="0"/>
        <w:spacing w:line="300" w:lineRule="auto"/>
        <w:ind w:firstLine="420" w:firstLineChars="200"/>
        <w:jc w:val="left"/>
        <w:rPr>
          <w:rFonts w:ascii="宋体" w:hAnsi="宋体" w:cs="宋体"/>
          <w:color w:val="auto"/>
          <w:szCs w:val="21"/>
        </w:rPr>
      </w:pPr>
      <w:r>
        <w:rPr>
          <w:rFonts w:hint="eastAsia" w:ascii="宋体" w:hAnsi="宋体" w:cs="宋体"/>
          <w:color w:val="auto"/>
          <w:sz w:val="21"/>
          <w:szCs w:val="21"/>
        </w:rPr>
        <w:t>需要补充的其他内容：见供应商须知前附表。</w:t>
      </w:r>
    </w:p>
    <w:p>
      <w:pPr>
        <w:spacing w:line="312" w:lineRule="auto"/>
        <w:jc w:val="left"/>
        <w:rPr>
          <w:rFonts w:ascii="宋体" w:hAnsi="宋体" w:cs="宋体"/>
          <w:color w:val="auto"/>
          <w:szCs w:val="21"/>
        </w:rPr>
      </w:pPr>
    </w:p>
    <w:p>
      <w:pPr>
        <w:spacing w:line="312" w:lineRule="auto"/>
        <w:jc w:val="left"/>
        <w:rPr>
          <w:rFonts w:ascii="宋体" w:hAnsi="宋体" w:cs="宋体"/>
          <w:color w:val="auto"/>
          <w:szCs w:val="21"/>
        </w:rPr>
      </w:pPr>
    </w:p>
    <w:p>
      <w:pPr>
        <w:spacing w:line="312" w:lineRule="auto"/>
        <w:jc w:val="left"/>
        <w:rPr>
          <w:rFonts w:ascii="宋体" w:hAnsi="宋体" w:cs="宋体"/>
          <w:bCs/>
          <w:color w:val="auto"/>
          <w:sz w:val="32"/>
          <w:szCs w:val="32"/>
        </w:rPr>
      </w:pPr>
      <w:r>
        <w:rPr>
          <w:rFonts w:hint="eastAsia" w:ascii="宋体" w:hAnsi="宋体" w:cs="宋体"/>
          <w:color w:val="auto"/>
        </w:rPr>
        <w:br w:type="page"/>
      </w:r>
      <w:bookmarkStart w:id="94" w:name="_Toc17182_WPSOffice_Level1"/>
      <w:bookmarkStart w:id="95" w:name="_Toc382374849"/>
      <w:r>
        <w:rPr>
          <w:rFonts w:hint="eastAsia" w:ascii="宋体" w:hAnsi="宋体" w:cs="宋体"/>
          <w:bCs/>
          <w:color w:val="auto"/>
          <w:sz w:val="32"/>
          <w:szCs w:val="32"/>
        </w:rPr>
        <w:t>附件：</w:t>
      </w:r>
    </w:p>
    <w:p>
      <w:pPr>
        <w:spacing w:before="312" w:beforeLines="100" w:after="312" w:afterLines="100" w:line="312" w:lineRule="auto"/>
        <w:jc w:val="center"/>
        <w:rPr>
          <w:rFonts w:ascii="宋体" w:hAnsi="宋体" w:cs="宋体"/>
          <w:bCs/>
          <w:color w:val="auto"/>
          <w:sz w:val="32"/>
          <w:szCs w:val="32"/>
        </w:rPr>
      </w:pPr>
      <w:r>
        <w:rPr>
          <w:rFonts w:hint="eastAsia" w:ascii="宋体" w:hAnsi="宋体" w:cs="宋体"/>
          <w:bCs/>
          <w:color w:val="auto"/>
          <w:sz w:val="32"/>
          <w:szCs w:val="32"/>
        </w:rPr>
        <w:t>疑问格式</w:t>
      </w:r>
    </w:p>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项目名称：</w:t>
      </w:r>
    </w:p>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项目编号：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23" w:hRule="atLeast"/>
        </w:trPr>
        <w:tc>
          <w:tcPr>
            <w:tcW w:w="4927" w:type="dxa"/>
            <w:vAlign w:val="center"/>
          </w:tcPr>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供应商名称</w:t>
            </w:r>
          </w:p>
        </w:tc>
        <w:tc>
          <w:tcPr>
            <w:tcW w:w="4927" w:type="dxa"/>
            <w:vAlign w:val="center"/>
          </w:tcPr>
          <w:p>
            <w:pPr>
              <w:snapToGrid w:val="0"/>
              <w:spacing w:line="312" w:lineRule="auto"/>
              <w:rPr>
                <w:rFonts w:ascii="宋体" w:hAnsi="宋体" w:cs="宋体"/>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68" w:hRule="atLeast"/>
        </w:trPr>
        <w:tc>
          <w:tcPr>
            <w:tcW w:w="9854" w:type="dxa"/>
            <w:gridSpan w:val="2"/>
          </w:tcPr>
          <w:p>
            <w:pPr>
              <w:snapToGrid w:val="0"/>
              <w:spacing w:line="312" w:lineRule="auto"/>
              <w:rPr>
                <w:rFonts w:ascii="宋体" w:hAnsi="宋体" w:cs="宋体"/>
                <w:bCs/>
                <w:color w:val="auto"/>
                <w:sz w:val="21"/>
                <w:szCs w:val="21"/>
              </w:rPr>
            </w:pPr>
          </w:p>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不清楚问题：</w:t>
            </w:r>
          </w:p>
          <w:p>
            <w:pPr>
              <w:snapToGrid w:val="0"/>
              <w:spacing w:line="312" w:lineRule="auto"/>
              <w:ind w:firstLine="420" w:firstLineChars="200"/>
              <w:rPr>
                <w:rFonts w:ascii="宋体" w:hAnsi="宋体" w:cs="宋体"/>
                <w:bCs/>
                <w:color w:val="auto"/>
                <w:sz w:val="21"/>
                <w:szCs w:val="21"/>
              </w:rPr>
            </w:pPr>
          </w:p>
        </w:tc>
      </w:tr>
    </w:tbl>
    <w:p>
      <w:pPr>
        <w:snapToGrid w:val="0"/>
        <w:spacing w:line="312" w:lineRule="auto"/>
        <w:jc w:val="right"/>
        <w:rPr>
          <w:rFonts w:ascii="宋体" w:hAnsi="宋体" w:cs="宋体"/>
          <w:bCs/>
          <w:color w:val="auto"/>
          <w:sz w:val="21"/>
          <w:szCs w:val="21"/>
        </w:rPr>
      </w:pPr>
    </w:p>
    <w:p>
      <w:pPr>
        <w:snapToGrid w:val="0"/>
        <w:spacing w:line="312" w:lineRule="auto"/>
        <w:ind w:right="105"/>
        <w:jc w:val="left"/>
        <w:rPr>
          <w:rFonts w:ascii="宋体" w:hAnsi="宋体" w:cs="宋体"/>
          <w:bCs/>
          <w:color w:val="auto"/>
          <w:sz w:val="21"/>
          <w:szCs w:val="21"/>
        </w:rPr>
      </w:pPr>
      <w:r>
        <w:rPr>
          <w:rFonts w:hint="eastAsia" w:ascii="宋体" w:hAnsi="宋体" w:cs="宋体"/>
          <w:bCs/>
          <w:color w:val="auto"/>
          <w:sz w:val="21"/>
          <w:szCs w:val="21"/>
        </w:rPr>
        <w:t xml:space="preserve">                                             供应商：               （公章）</w:t>
      </w:r>
    </w:p>
    <w:p>
      <w:pPr>
        <w:pStyle w:val="4"/>
        <w:spacing w:line="312" w:lineRule="auto"/>
        <w:ind w:firstLine="4515" w:firstLineChars="2150"/>
        <w:jc w:val="left"/>
        <w:rPr>
          <w:rFonts w:ascii="宋体" w:hAnsi="宋体" w:cs="宋体"/>
          <w:bCs/>
          <w:color w:val="auto"/>
          <w:sz w:val="21"/>
          <w:szCs w:val="21"/>
          <w:u w:val="single"/>
        </w:rPr>
        <w:sectPr>
          <w:headerReference r:id="rId8" w:type="default"/>
          <w:footerReference r:id="rId9" w:type="default"/>
          <w:pgSz w:w="11906" w:h="16838"/>
          <w:pgMar w:top="1013" w:right="1134" w:bottom="1213" w:left="1134" w:header="851" w:footer="992" w:gutter="0"/>
          <w:cols w:space="720" w:num="1"/>
          <w:docGrid w:type="lines" w:linePitch="312" w:charSpace="0"/>
        </w:sectPr>
      </w:pPr>
      <w:r>
        <w:rPr>
          <w:rFonts w:hint="eastAsia" w:ascii="宋体" w:hAnsi="宋体" w:cs="宋体"/>
          <w:bCs/>
          <w:color w:val="auto"/>
          <w:sz w:val="21"/>
          <w:szCs w:val="21"/>
        </w:rPr>
        <w:t xml:space="preserve">  日    期：</w:t>
      </w:r>
    </w:p>
    <w:p>
      <w:pPr>
        <w:spacing w:line="312" w:lineRule="auto"/>
        <w:jc w:val="center"/>
        <w:outlineLvl w:val="0"/>
        <w:rPr>
          <w:rFonts w:ascii="宋体" w:hAnsi="宋体" w:cs="宋体"/>
          <w:b/>
          <w:bCs/>
          <w:color w:val="auto"/>
          <w:sz w:val="32"/>
          <w:szCs w:val="18"/>
        </w:rPr>
      </w:pPr>
      <w:bookmarkStart w:id="96" w:name="_Toc32563"/>
      <w:bookmarkStart w:id="460" w:name="_GoBack"/>
      <w:bookmarkEnd w:id="460"/>
      <w:r>
        <w:rPr>
          <w:rFonts w:hint="eastAsia" w:ascii="宋体" w:hAnsi="宋体" w:cs="宋体"/>
          <w:b/>
          <w:bCs/>
          <w:color w:val="auto"/>
          <w:sz w:val="32"/>
          <w:szCs w:val="18"/>
        </w:rPr>
        <w:t>第三章 评审方法</w:t>
      </w:r>
      <w:bookmarkEnd w:id="96"/>
      <w:bookmarkStart w:id="97" w:name="_Toc13254"/>
      <w:bookmarkStart w:id="98" w:name="_Toc30934"/>
      <w:bookmarkStart w:id="99" w:name="_Toc450588624"/>
      <w:bookmarkStart w:id="100" w:name="_Toc152042376"/>
      <w:bookmarkStart w:id="101" w:name="_Toc7291_WPSOffice_Level2"/>
      <w:bookmarkStart w:id="102" w:name="_Toc144974566"/>
      <w:bookmarkStart w:id="103" w:name="_Toc179632617"/>
      <w:bookmarkStart w:id="104" w:name="_Toc14938"/>
      <w:bookmarkStart w:id="105" w:name="_Toc409424330"/>
      <w:bookmarkStart w:id="106" w:name="_Toc16245_WPSOffice_Level2"/>
      <w:bookmarkStart w:id="107" w:name="_Toc152045599"/>
      <w:bookmarkStart w:id="108" w:name="_Toc409424391"/>
      <w:bookmarkStart w:id="109" w:name="_Toc247085757"/>
      <w:bookmarkStart w:id="110" w:name="_Toc246996242"/>
      <w:bookmarkStart w:id="111" w:name="_Toc246996985"/>
      <w:bookmarkStart w:id="112" w:name="_Toc8424_WPSOffice_Level2"/>
    </w:p>
    <w:p>
      <w:pPr>
        <w:spacing w:line="312" w:lineRule="auto"/>
        <w:jc w:val="center"/>
        <w:outlineLvl w:val="0"/>
        <w:rPr>
          <w:rFonts w:ascii="宋体" w:hAnsi="宋体" w:cs="宋体"/>
          <w:color w:val="auto"/>
          <w:sz w:val="21"/>
          <w:szCs w:val="21"/>
        </w:rPr>
      </w:pPr>
      <w:bookmarkStart w:id="113" w:name="_Toc493"/>
      <w:bookmarkStart w:id="114" w:name="_Toc28457"/>
      <w:r>
        <w:rPr>
          <w:rFonts w:hint="eastAsia" w:ascii="宋体" w:hAnsi="宋体" w:cs="宋体"/>
          <w:b/>
          <w:bCs/>
          <w:color w:val="auto"/>
          <w:szCs w:val="28"/>
        </w:rPr>
        <w:t>评审办法前附表（一）</w:t>
      </w:r>
      <w:bookmarkEnd w:id="97"/>
      <w:bookmarkEnd w:id="98"/>
      <w:bookmarkEnd w:id="113"/>
      <w:bookmarkEnd w:id="114"/>
    </w:p>
    <w:tbl>
      <w:tblPr>
        <w:tblStyle w:val="58"/>
        <w:tblW w:w="0" w:type="auto"/>
        <w:tblInd w:w="-16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677"/>
        <w:gridCol w:w="1824"/>
        <w:gridCol w:w="6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51" w:type="dxa"/>
            <w:gridSpan w:val="2"/>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条款号</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评审因素</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74"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2.1.1</w:t>
            </w:r>
          </w:p>
        </w:tc>
        <w:tc>
          <w:tcPr>
            <w:tcW w:w="677"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形式评审标准</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供应商名称</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磋商函签字盖章</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响应文件格式</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符合第八章“响应文件格式”的要求。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报价唯一</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4" w:type="dxa"/>
            <w:vMerge w:val="restart"/>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2.1.2</w:t>
            </w:r>
          </w:p>
        </w:tc>
        <w:tc>
          <w:tcPr>
            <w:tcW w:w="677" w:type="dxa"/>
            <w:vMerge w:val="restart"/>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资格评审标准</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营业执照</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snapToGrid w:val="0"/>
                <w:color w:val="auto"/>
                <w:spacing w:val="-4"/>
                <w:kern w:val="0"/>
                <w:sz w:val="21"/>
                <w:szCs w:val="21"/>
                <w:lang w:val="zh-CN"/>
              </w:rPr>
              <w:t>具备有效的营业执照，提供营业执照（副本）</w:t>
            </w:r>
            <w:r>
              <w:rPr>
                <w:rFonts w:hint="eastAsia" w:ascii="宋体" w:hAnsi="宋体" w:cs="宋体"/>
                <w:b/>
                <w:snapToGrid w:val="0"/>
                <w:color w:val="auto"/>
                <w:spacing w:val="-4"/>
                <w:kern w:val="0"/>
                <w:sz w:val="21"/>
                <w:szCs w:val="21"/>
                <w:lang w:val="zh-CN"/>
              </w:rPr>
              <w:t>原件</w:t>
            </w:r>
            <w:r>
              <w:rPr>
                <w:rFonts w:hint="eastAsia" w:ascii="宋体" w:hAnsi="宋体" w:cs="宋体"/>
                <w:bCs/>
                <w:color w:val="auto"/>
                <w:sz w:val="21"/>
                <w:szCs w:val="21"/>
                <w:lang w:val="zh-CN"/>
              </w:rPr>
              <w:t>，响应文件内附复印件并加盖公章。</w:t>
            </w:r>
            <w:r>
              <w:rPr>
                <w:rFonts w:hint="eastAsia" w:ascii="宋体" w:hAnsi="宋体" w:cs="宋体"/>
                <w:color w:val="auto"/>
                <w:sz w:val="21"/>
                <w:szCs w:val="21"/>
                <w:lang w:val="zh-CN"/>
              </w:rPr>
              <w:t>（供应商可提供加盖公章的国家企业信用信息公示系统查询截图代替营业执照原件，磋商小组在评审过程中将在国家企业信用信息公示系统查询核实）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textAlignment w:val="center"/>
              <w:rPr>
                <w:rFonts w:ascii="宋体" w:hAnsi="宋体" w:cs="宋体"/>
                <w:bCs/>
                <w:color w:val="auto"/>
                <w:sz w:val="21"/>
                <w:szCs w:val="21"/>
              </w:rPr>
            </w:pPr>
            <w:r>
              <w:rPr>
                <w:rFonts w:hint="eastAsia" w:ascii="宋体" w:hAnsi="宋体" w:cs="宋体"/>
                <w:color w:val="auto"/>
                <w:sz w:val="21"/>
                <w:szCs w:val="21"/>
              </w:rPr>
              <w:t>符合政府采购法第二十二条规定</w:t>
            </w:r>
          </w:p>
        </w:tc>
        <w:tc>
          <w:tcPr>
            <w:tcW w:w="674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宋体" w:hAnsi="宋体" w:cs="宋体"/>
                <w:bCs/>
                <w:snapToGrid w:val="0"/>
                <w:color w:val="auto"/>
                <w:spacing w:val="-4"/>
                <w:kern w:val="0"/>
                <w:sz w:val="21"/>
                <w:szCs w:val="21"/>
                <w:lang w:val="zh-CN"/>
              </w:rPr>
            </w:pPr>
            <w:r>
              <w:rPr>
                <w:rFonts w:hint="eastAsia" w:ascii="宋体" w:hAnsi="宋体" w:cs="宋体"/>
                <w:color w:val="auto"/>
                <w:sz w:val="21"/>
                <w:szCs w:val="21"/>
              </w:rPr>
              <w:t>响应文件内附由法人签字或盖章并加盖单位公章的承诺函。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5"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资质等级</w:t>
            </w:r>
          </w:p>
        </w:tc>
        <w:tc>
          <w:tcPr>
            <w:tcW w:w="674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宋体" w:hAnsi="宋体" w:cs="宋体"/>
                <w:color w:val="auto"/>
                <w:sz w:val="21"/>
                <w:szCs w:val="21"/>
              </w:rPr>
            </w:pPr>
            <w:r>
              <w:rPr>
                <w:rFonts w:hint="eastAsia" w:ascii="宋体" w:hAnsi="宋体" w:cs="宋体"/>
                <w:color w:val="auto"/>
                <w:spacing w:val="14"/>
                <w:kern w:val="0"/>
                <w:sz w:val="21"/>
                <w:szCs w:val="21"/>
              </w:rPr>
              <w:t>供应商须是具备建设行政主管部门核发的电力工程施工总承包叁级及以上（或输变电工程专业承包叁级及以上）资质和承装（修、试）电力五级及以上资质的法人或其他组织</w:t>
            </w:r>
            <w:r>
              <w:rPr>
                <w:rFonts w:hint="eastAsia" w:ascii="宋体" w:hAnsi="宋体" w:cs="宋体"/>
                <w:color w:val="auto"/>
                <w:sz w:val="21"/>
                <w:szCs w:val="21"/>
              </w:rPr>
              <w:t>。并在人员、设备、资金等方面具有承揽本项目相应的能力。</w:t>
            </w:r>
            <w:r>
              <w:rPr>
                <w:rFonts w:hint="eastAsia" w:ascii="宋体" w:hAnsi="宋体" w:cs="宋体"/>
                <w:color w:val="auto"/>
                <w:sz w:val="21"/>
                <w:szCs w:val="21"/>
                <w:lang w:val="zh-CN"/>
              </w:rPr>
              <w:t>（</w:t>
            </w:r>
            <w:r>
              <w:rPr>
                <w:rFonts w:hint="eastAsia" w:ascii="宋体" w:hAnsi="宋体" w:cs="宋体"/>
                <w:color w:val="auto"/>
                <w:sz w:val="21"/>
                <w:szCs w:val="21"/>
              </w:rPr>
              <w:t>执行《住房和城乡建设部关于印发建设工程企业资质管理制度改革方案的通知》建市【2020】94号文件、《吉林省住房和城乡建设厅关于延长建设工程企业资质有效期的通知》吉建办【2021】99号文件的规定</w:t>
            </w:r>
            <w:r>
              <w:rPr>
                <w:rFonts w:hint="eastAsia" w:ascii="宋体" w:hAnsi="宋体" w:cs="宋体"/>
                <w:color w:val="auto"/>
                <w:sz w:val="21"/>
                <w:szCs w:val="21"/>
                <w:lang w:val="zh-CN"/>
              </w:rPr>
              <w:t>）</w:t>
            </w:r>
            <w:r>
              <w:rPr>
                <w:rFonts w:hint="eastAsia" w:ascii="宋体" w:hAnsi="宋体" w:cs="宋体"/>
                <w:color w:val="auto"/>
                <w:sz w:val="21"/>
                <w:szCs w:val="21"/>
              </w:rPr>
              <w:t xml:space="preserve"> </w:t>
            </w:r>
          </w:p>
          <w:p>
            <w:pPr>
              <w:autoSpaceDE w:val="0"/>
              <w:autoSpaceDN w:val="0"/>
              <w:adjustRightInd w:val="0"/>
              <w:spacing w:line="300" w:lineRule="auto"/>
              <w:rPr>
                <w:rFonts w:ascii="宋体" w:hAnsi="宋体" w:cs="宋体"/>
                <w:bCs/>
                <w:color w:val="auto"/>
                <w:sz w:val="21"/>
                <w:szCs w:val="21"/>
                <w:lang w:val="zh-CN"/>
              </w:rPr>
            </w:pPr>
            <w:r>
              <w:rPr>
                <w:rFonts w:hint="eastAsia" w:ascii="宋体" w:hAnsi="宋体" w:cs="宋体"/>
                <w:b/>
                <w:bCs/>
                <w:color w:val="auto"/>
                <w:sz w:val="21"/>
                <w:szCs w:val="21"/>
              </w:rPr>
              <w:t>响应文件内附与资质证书（副本）同样大小并加盖公章的复印件。</w:t>
            </w:r>
            <w:r>
              <w:rPr>
                <w:rFonts w:hint="eastAsia" w:ascii="宋体" w:hAnsi="宋体" w:cs="宋体"/>
                <w:color w:val="auto"/>
                <w:sz w:val="21"/>
                <w:szCs w:val="21"/>
              </w:rPr>
              <w:t>建筑业企业资质证书复印件信息的真伪由磋商小组通过扫描二维码标识进行查询确认。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安全生产许可证</w:t>
            </w:r>
          </w:p>
        </w:tc>
        <w:tc>
          <w:tcPr>
            <w:tcW w:w="6744"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cs="宋体"/>
                <w:color w:val="auto"/>
                <w:sz w:val="21"/>
                <w:szCs w:val="21"/>
                <w:lang w:val="zh-CN"/>
              </w:rPr>
            </w:pPr>
            <w:r>
              <w:rPr>
                <w:rFonts w:hint="eastAsia" w:ascii="宋体" w:hAnsi="宋体" w:cs="宋体"/>
                <w:color w:val="auto"/>
                <w:sz w:val="21"/>
                <w:szCs w:val="21"/>
                <w:lang w:val="zh-CN"/>
              </w:rPr>
              <w:t>具备有效的安全生产许可证。（执行《关于疫情防控期间安全生产许可证等业务办理有关事项的补充通知》吉建安【2022】7号文件的规定）</w:t>
            </w:r>
          </w:p>
          <w:p>
            <w:pPr>
              <w:spacing w:line="300" w:lineRule="auto"/>
              <w:rPr>
                <w:rFonts w:ascii="宋体" w:hAnsi="宋体" w:cs="宋体"/>
                <w:b/>
                <w:bCs/>
                <w:color w:val="auto"/>
                <w:sz w:val="21"/>
                <w:szCs w:val="21"/>
              </w:rPr>
            </w:pPr>
            <w:r>
              <w:rPr>
                <w:rFonts w:hint="eastAsia" w:ascii="宋体" w:hAnsi="宋体" w:cs="宋体"/>
                <w:color w:val="auto"/>
                <w:sz w:val="21"/>
                <w:szCs w:val="21"/>
                <w:lang w:val="zh-CN"/>
              </w:rPr>
              <w:t>提供安全生产许可证（副本）</w:t>
            </w:r>
            <w:r>
              <w:rPr>
                <w:rFonts w:hint="eastAsia" w:ascii="宋体" w:hAnsi="宋体" w:cs="宋体"/>
                <w:b/>
                <w:bCs/>
                <w:color w:val="auto"/>
                <w:sz w:val="21"/>
                <w:szCs w:val="21"/>
                <w:lang w:val="zh-CN"/>
              </w:rPr>
              <w:t>原件</w:t>
            </w:r>
            <w:r>
              <w:rPr>
                <w:rFonts w:hint="eastAsia" w:ascii="宋体" w:hAnsi="宋体" w:cs="宋体"/>
                <w:color w:val="auto"/>
                <w:sz w:val="21"/>
                <w:szCs w:val="21"/>
                <w:lang w:val="zh-CN"/>
              </w:rPr>
              <w:t>，响应文件内附复印件并加盖公章。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中小企业声明函</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bCs/>
                <w:color w:val="auto"/>
                <w:sz w:val="21"/>
                <w:szCs w:val="21"/>
              </w:rPr>
            </w:pPr>
            <w:r>
              <w:rPr>
                <w:color w:val="auto"/>
                <w:sz w:val="21"/>
                <w:szCs w:val="21"/>
              </w:rPr>
              <w:t>提供中小企业声明函原件或视同为小微企业的证明材料原件，</w:t>
            </w:r>
            <w:r>
              <w:rPr>
                <w:rFonts w:hint="eastAsia" w:ascii="宋体" w:hAnsi="宋体" w:cs="宋体"/>
                <w:b/>
                <w:bCs/>
                <w:color w:val="auto"/>
                <w:sz w:val="21"/>
                <w:szCs w:val="21"/>
                <w:lang w:val="zh-CN"/>
              </w:rPr>
              <w:t>响应文件内附加盖公章（鲜章）的复印件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color w:val="auto"/>
                <w:sz w:val="21"/>
                <w:szCs w:val="21"/>
              </w:rPr>
              <w:t>社保证明及纳税证明</w:t>
            </w:r>
          </w:p>
        </w:tc>
        <w:tc>
          <w:tcPr>
            <w:tcW w:w="67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rPr>
                <w:rFonts w:ascii="宋体" w:hAnsi="宋体" w:cs="宋体"/>
                <w:bCs/>
                <w:color w:val="auto"/>
                <w:sz w:val="21"/>
                <w:szCs w:val="21"/>
              </w:rPr>
            </w:pPr>
            <w:r>
              <w:rPr>
                <w:rFonts w:hint="eastAsia" w:ascii="宋体" w:hAnsi="宋体" w:cs="宋体"/>
                <w:color w:val="auto"/>
                <w:sz w:val="21"/>
                <w:szCs w:val="21"/>
              </w:rPr>
              <w:t>供应商需提供近一年（2021年6月1日至2022年5月31日）任意连续三个月的缴纳社保证明及纳税证明材料，</w:t>
            </w:r>
            <w:r>
              <w:rPr>
                <w:rFonts w:hint="eastAsia" w:ascii="宋体" w:hAnsi="宋体" w:cs="宋体"/>
                <w:color w:val="auto"/>
                <w:spacing w:val="14"/>
                <w:kern w:val="0"/>
                <w:sz w:val="21"/>
                <w:szCs w:val="21"/>
              </w:rPr>
              <w:t>响应文件内附复印件加盖公章。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供应商拟派出的</w:t>
            </w:r>
            <w:r>
              <w:rPr>
                <w:rFonts w:hint="eastAsia" w:ascii="宋体" w:hAnsi="宋体" w:cs="宋体"/>
                <w:color w:val="auto"/>
                <w:sz w:val="21"/>
                <w:szCs w:val="21"/>
              </w:rPr>
              <w:t>项目经理须具备机电工程专业贰级及以上注册建造师资格，具备有效的安全生产考核合格证，提供注册证及安全生产考核合格证</w:t>
            </w:r>
            <w:r>
              <w:rPr>
                <w:rFonts w:hint="eastAsia" w:ascii="宋体" w:hAnsi="宋体" w:cs="宋体"/>
                <w:b/>
                <w:bCs/>
                <w:color w:val="auto"/>
                <w:sz w:val="21"/>
                <w:szCs w:val="21"/>
              </w:rPr>
              <w:t>原件</w:t>
            </w:r>
            <w:r>
              <w:rPr>
                <w:rFonts w:hint="eastAsia" w:ascii="宋体" w:hAnsi="宋体" w:cs="宋体"/>
                <w:bCs/>
                <w:color w:val="auto"/>
                <w:sz w:val="21"/>
                <w:szCs w:val="21"/>
                <w:lang w:val="zh-CN"/>
              </w:rPr>
              <w:t>，响应文件内附复印件并加盖公章。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color w:val="auto"/>
                <w:sz w:val="21"/>
                <w:szCs w:val="21"/>
              </w:rPr>
              <w:t>项目经理无在建工程。响应文件内附</w:t>
            </w:r>
            <w:r>
              <w:rPr>
                <w:rFonts w:hint="eastAsia" w:ascii="宋体" w:hAnsi="宋体" w:cs="宋体"/>
                <w:color w:val="auto"/>
                <w:sz w:val="21"/>
                <w:szCs w:val="21"/>
                <w:lang w:val="zh-CN"/>
              </w:rPr>
              <w:t>由</w:t>
            </w:r>
            <w:r>
              <w:rPr>
                <w:rFonts w:hint="eastAsia" w:ascii="宋体" w:hAnsi="宋体" w:cs="宋体"/>
                <w:b/>
                <w:bCs/>
                <w:color w:val="auto"/>
                <w:sz w:val="21"/>
                <w:szCs w:val="21"/>
                <w:lang w:val="zh-CN"/>
              </w:rPr>
              <w:t>法定代表人及项目经理本人签字并加盖公章的无在建工程承诺书</w:t>
            </w:r>
            <w:r>
              <w:rPr>
                <w:rFonts w:hint="eastAsia" w:ascii="宋体" w:hAnsi="宋体" w:cs="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响应文件内附项目经理所在供应商缴纳的近一年（2021年6月1日至2022年5月31日）任意连续三个月的社保证明材料复印件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财务要求</w:t>
            </w:r>
          </w:p>
        </w:tc>
        <w:tc>
          <w:tcPr>
            <w:tcW w:w="67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rPr>
                <w:rFonts w:ascii="宋体" w:hAnsi="宋体" w:cs="宋体"/>
                <w:bCs/>
                <w:color w:val="auto"/>
                <w:sz w:val="21"/>
                <w:szCs w:val="21"/>
                <w:lang w:val="zh-CN"/>
              </w:rPr>
            </w:pPr>
            <w:r>
              <w:rPr>
                <w:rFonts w:hint="eastAsia" w:ascii="宋体" w:hAnsi="宋体" w:cs="宋体"/>
                <w:color w:val="auto"/>
                <w:sz w:val="21"/>
                <w:szCs w:val="21"/>
              </w:rPr>
              <w:t>近三年（2019年、2020年、2021年）财务状况良好，具有会计师事务所审计的财务审计报告。（成立年限不足三年的提供成立之日起到2021年度的审计报告即可；2021年成立至2022年1月1日不足1年或2022年成立的公司提供加盖公章的财务报表即可。）</w:t>
            </w:r>
            <w:r>
              <w:rPr>
                <w:rFonts w:hint="eastAsia" w:ascii="宋体" w:hAnsi="宋体" w:cs="宋体"/>
                <w:b/>
                <w:color w:val="auto"/>
                <w:sz w:val="21"/>
                <w:szCs w:val="21"/>
                <w:lang w:val="zh-CN"/>
              </w:rPr>
              <w:t>提供财务审计报告原件，响应文件内附复印件并加盖公章</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74" w:type="dxa"/>
            <w:vMerge w:val="continue"/>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信誉要求</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rPr>
              <w:t>1</w:t>
            </w:r>
            <w:r>
              <w:rPr>
                <w:rFonts w:hint="eastAsia" w:ascii="宋体" w:hAnsi="宋体" w:cs="宋体"/>
                <w:bCs/>
                <w:color w:val="auto"/>
                <w:sz w:val="21"/>
                <w:szCs w:val="21"/>
                <w:lang w:val="zh-CN"/>
              </w:rPr>
              <w:t>）</w:t>
            </w:r>
            <w:r>
              <w:rPr>
                <w:rFonts w:hint="eastAsia" w:ascii="宋体" w:hAnsi="宋体" w:cs="宋体"/>
                <w:color w:val="auto"/>
                <w:spacing w:val="14"/>
                <w:kern w:val="0"/>
                <w:sz w:val="21"/>
                <w:szCs w:val="21"/>
              </w:rPr>
              <w:t>拒绝列入政府取消投标资格记录期间的企业或个人参与本项目</w:t>
            </w:r>
            <w:r>
              <w:rPr>
                <w:rFonts w:hint="eastAsia" w:ascii="宋体" w:hAnsi="宋体" w:cs="宋体"/>
                <w:bCs/>
                <w:color w:val="auto"/>
                <w:sz w:val="21"/>
                <w:szCs w:val="21"/>
                <w:lang w:val="zh-CN"/>
              </w:rPr>
              <w:t>。</w:t>
            </w:r>
            <w:r>
              <w:rPr>
                <w:rFonts w:hint="eastAsia" w:ascii="宋体" w:hAnsi="宋体" w:cs="宋体"/>
                <w:b/>
                <w:color w:val="auto"/>
                <w:sz w:val="21"/>
                <w:szCs w:val="21"/>
                <w:lang w:val="zh-CN"/>
              </w:rPr>
              <w:t>响应文件内附由法定代表人签字或盖章并加盖公章的承诺书。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rPr>
              <w:t>（2）</w:t>
            </w:r>
            <w:r>
              <w:rPr>
                <w:rFonts w:hint="eastAsia" w:ascii="宋体" w:hAnsi="宋体" w:cs="宋体"/>
                <w:color w:val="auto"/>
                <w:sz w:val="21"/>
                <w:szCs w:val="21"/>
              </w:rPr>
              <w:t>未被列入信用中国网（www.creditchina.gov.cn）渠道信用记录失信被执行人、重大税收违法案件当事人名单（即“税收违法黑名单”）；未被列入中国政府采购网（http://www.ccgp.gov.cn）政府采购严重违法失信行为记录名单</w:t>
            </w:r>
            <w:r>
              <w:rPr>
                <w:rFonts w:hint="eastAsia" w:ascii="宋体" w:hAnsi="宋体" w:cs="宋体"/>
                <w:bCs/>
                <w:color w:val="auto"/>
                <w:sz w:val="21"/>
                <w:szCs w:val="21"/>
                <w:lang w:val="zh-CN"/>
              </w:rPr>
              <w:t>。（</w:t>
            </w:r>
            <w:r>
              <w:rPr>
                <w:rFonts w:hint="eastAsia" w:ascii="宋体" w:hAnsi="宋体" w:cs="宋体"/>
                <w:b/>
                <w:color w:val="auto"/>
                <w:sz w:val="21"/>
                <w:szCs w:val="21"/>
                <w:lang w:val="zh-CN"/>
              </w:rPr>
              <w:t>采购代理机构出具查询结果，由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rPr>
              <w:t>（3）</w:t>
            </w:r>
            <w:r>
              <w:rPr>
                <w:rFonts w:hint="eastAsia" w:ascii="宋体" w:hAnsi="宋体" w:cs="宋体"/>
                <w:color w:val="auto"/>
                <w:sz w:val="21"/>
                <w:szCs w:val="21"/>
              </w:rPr>
              <w:t>中国裁判文书网（hppt://wenshu.court.gov.cn/）中供应商及法定代表人近三年无行贿犯罪记录</w:t>
            </w:r>
            <w:r>
              <w:rPr>
                <w:rFonts w:hint="eastAsia" w:ascii="宋体" w:hAnsi="宋体" w:cs="宋体"/>
                <w:bCs/>
                <w:color w:val="auto"/>
                <w:sz w:val="21"/>
                <w:szCs w:val="21"/>
              </w:rPr>
              <w:t>。</w:t>
            </w:r>
            <w:r>
              <w:rPr>
                <w:rFonts w:hint="eastAsia" w:ascii="宋体" w:hAnsi="宋体" w:cs="宋体"/>
                <w:bCs/>
                <w:color w:val="auto"/>
                <w:sz w:val="21"/>
                <w:szCs w:val="21"/>
                <w:lang w:val="zh-CN"/>
              </w:rPr>
              <w:t>（</w:t>
            </w:r>
            <w:r>
              <w:rPr>
                <w:rFonts w:hint="eastAsia" w:ascii="宋体" w:hAnsi="宋体" w:cs="宋体"/>
                <w:b/>
                <w:color w:val="auto"/>
                <w:sz w:val="21"/>
                <w:szCs w:val="21"/>
                <w:lang w:val="zh-CN"/>
              </w:rPr>
              <w:t>采购代理机构出具查询结果，由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rPr>
              <w:t>4</w:t>
            </w:r>
            <w:r>
              <w:rPr>
                <w:rFonts w:hint="eastAsia" w:ascii="宋体" w:hAnsi="宋体" w:cs="宋体"/>
                <w:bCs/>
                <w:color w:val="auto"/>
                <w:sz w:val="21"/>
                <w:szCs w:val="21"/>
                <w:lang w:val="zh-CN"/>
              </w:rPr>
              <w:t>）</w:t>
            </w:r>
            <w:r>
              <w:rPr>
                <w:rFonts w:hint="eastAsia" w:ascii="宋体" w:hAnsi="宋体" w:cs="宋体"/>
                <w:color w:val="auto"/>
                <w:spacing w:val="14"/>
                <w:kern w:val="0"/>
                <w:sz w:val="21"/>
                <w:szCs w:val="21"/>
              </w:rPr>
              <w:t>拒绝列入全国建筑市场监管公共服务平台建筑市场主体“黑名单”的企业或个人参与本项目</w:t>
            </w:r>
            <w:r>
              <w:rPr>
                <w:rFonts w:hint="eastAsia" w:ascii="宋体" w:hAnsi="宋体" w:cs="宋体"/>
                <w:color w:val="auto"/>
                <w:sz w:val="21"/>
                <w:szCs w:val="21"/>
              </w:rPr>
              <w:t>。（</w:t>
            </w:r>
            <w:r>
              <w:rPr>
                <w:rFonts w:hint="eastAsia" w:ascii="宋体" w:hAnsi="宋体" w:cs="宋体"/>
                <w:b/>
                <w:color w:val="auto"/>
                <w:sz w:val="21"/>
                <w:szCs w:val="21"/>
              </w:rPr>
              <w:t>采购代理机构出具在全国建筑市场监管公共服务平台上的查询结果，</w:t>
            </w:r>
            <w:r>
              <w:rPr>
                <w:rFonts w:hint="eastAsia" w:ascii="宋体" w:hAnsi="宋体" w:cs="宋体"/>
                <w:b/>
                <w:color w:val="auto"/>
                <w:sz w:val="21"/>
                <w:szCs w:val="21"/>
                <w:lang w:val="zh-CN"/>
              </w:rPr>
              <w:t>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lang w:val="zh-CN"/>
              </w:rPr>
              <w:t>外埠入吉建筑业企业信息登记</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color w:val="auto"/>
                <w:sz w:val="21"/>
                <w:szCs w:val="21"/>
              </w:rPr>
              <w:t>外省入吉建筑业企业应按照吉林省相关文件要求办理入吉建筑企业信息登记后方可参与本项目</w:t>
            </w:r>
            <w:r>
              <w:rPr>
                <w:rFonts w:hint="eastAsia" w:ascii="宋体" w:hAnsi="宋体" w:cs="宋体"/>
                <w:bCs/>
                <w:color w:val="auto"/>
                <w:sz w:val="21"/>
                <w:szCs w:val="21"/>
              </w:rPr>
              <w:t>。</w:t>
            </w:r>
          </w:p>
          <w:p>
            <w:pPr>
              <w:autoSpaceDE w:val="0"/>
              <w:autoSpaceDN w:val="0"/>
              <w:adjustRightInd w:val="0"/>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
                <w:color w:val="auto"/>
                <w:sz w:val="21"/>
                <w:szCs w:val="21"/>
                <w:lang w:val="zh-CN"/>
              </w:rPr>
              <w:t>采购代理机构出具在</w:t>
            </w:r>
            <w:r>
              <w:rPr>
                <w:rFonts w:hint="eastAsia" w:ascii="宋体" w:hAnsi="宋体" w:cs="宋体"/>
                <w:b/>
                <w:bCs/>
                <w:color w:val="auto"/>
                <w:sz w:val="21"/>
                <w:szCs w:val="21"/>
                <w:lang w:val="zh-CN"/>
              </w:rPr>
              <w:t>吉林省建筑市场监管公共服务平台上的</w:t>
            </w:r>
            <w:r>
              <w:rPr>
                <w:rFonts w:hint="eastAsia" w:ascii="宋体" w:hAnsi="宋体" w:cs="宋体"/>
                <w:b/>
                <w:color w:val="auto"/>
                <w:sz w:val="21"/>
                <w:szCs w:val="21"/>
                <w:lang w:val="zh-CN"/>
              </w:rPr>
              <w:t>查询结果，由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其他要求</w:t>
            </w:r>
          </w:p>
        </w:tc>
        <w:tc>
          <w:tcPr>
            <w:tcW w:w="67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rPr>
                <w:rFonts w:ascii="宋体" w:hAnsi="宋体" w:cs="宋体"/>
                <w:color w:val="auto"/>
                <w:sz w:val="21"/>
                <w:szCs w:val="21"/>
                <w:lang w:val="zh-CN"/>
              </w:rPr>
            </w:pPr>
            <w:r>
              <w:rPr>
                <w:rFonts w:hint="eastAsia" w:ascii="宋体" w:hAnsi="宋体" w:cs="宋体"/>
                <w:color w:val="auto"/>
                <w:sz w:val="21"/>
                <w:szCs w:val="21"/>
              </w:rPr>
              <w:t>1.</w:t>
            </w:r>
            <w:r>
              <w:rPr>
                <w:rFonts w:hint="eastAsia" w:ascii="宋体" w:hAnsi="宋体" w:cs="宋体"/>
                <w:color w:val="auto"/>
                <w:sz w:val="21"/>
                <w:szCs w:val="21"/>
                <w:lang w:val="zh-CN"/>
              </w:rPr>
              <w:t>供应商不得存在下列情形之一</w:t>
            </w:r>
          </w:p>
          <w:p>
            <w:pPr>
              <w:spacing w:line="300" w:lineRule="auto"/>
              <w:rPr>
                <w:rFonts w:ascii="宋体" w:hAnsi="宋体" w:cs="宋体"/>
                <w:color w:val="auto"/>
                <w:sz w:val="21"/>
                <w:szCs w:val="21"/>
              </w:rPr>
            </w:pPr>
            <w:r>
              <w:rPr>
                <w:rFonts w:hint="eastAsia" w:ascii="宋体" w:hAnsi="宋体" w:cs="宋体"/>
                <w:color w:val="auto"/>
                <w:sz w:val="21"/>
                <w:szCs w:val="21"/>
              </w:rPr>
              <w:t>（1）为采购人不具有独立法人资格的附属机构(单位)；（2）为本项目前期准备提供设计或咨询服务的，但设计施工总承包的除外；（3）为本项目的监理人；（4）为本项目的代建人；（5）为本项目提供采购代理服务的；（6）与本项目的监理人或代建人或采购代理机构同为一个法定代表人的；（7）与本项目的监理人或代建人或采购代理机构相互控股或参股的；（8）与本项目的监理人或代建人或采购代理机构相互任职或工作的；（9）被责令停业的；（10）被依法暂停或者取消投标资格；（11）被责令停产停业、暂扣或者吊销许可证、暂扣或者吊销执照；（12）进入清算程序，或被宣告破产，或其他丧失履约能力的情形；（13）在最近三年内发生重大工程质量问题（以相关行业主管部门的行政处罚决定或司法机关出具的有关法律文书为准）；（14）法律法规或供应商须知前附表规定的其他情形</w:t>
            </w:r>
          </w:p>
          <w:p>
            <w:pPr>
              <w:spacing w:line="300" w:lineRule="auto"/>
              <w:rPr>
                <w:rFonts w:ascii="宋体" w:hAnsi="宋体" w:cs="宋体"/>
                <w:color w:val="auto"/>
                <w:sz w:val="21"/>
                <w:szCs w:val="21"/>
              </w:rPr>
            </w:pPr>
            <w:r>
              <w:rPr>
                <w:rFonts w:hint="eastAsia" w:ascii="宋体" w:hAnsi="宋体" w:cs="宋体"/>
                <w:b/>
                <w:bCs/>
                <w:color w:val="auto"/>
                <w:sz w:val="21"/>
                <w:szCs w:val="21"/>
                <w:lang w:val="zh-CN"/>
              </w:rPr>
              <w:t>响应文件内附由法定代表人签字或盖章并加盖公章的承诺书。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auto"/>
                <w:sz w:val="21"/>
                <w:szCs w:val="21"/>
              </w:rPr>
            </w:pPr>
            <w:r>
              <w:rPr>
                <w:rFonts w:hint="eastAsia" w:ascii="宋体" w:hAnsi="宋体" w:cs="宋体"/>
                <w:bCs/>
                <w:color w:val="auto"/>
                <w:sz w:val="21"/>
                <w:szCs w:val="21"/>
                <w:lang w:val="zh-CN"/>
              </w:rPr>
              <w:t>2.与采购人存在利害关系可能影响磋商公正性的法人、其他组织或者个人，不得参与本项目。</w:t>
            </w:r>
            <w:r>
              <w:rPr>
                <w:rFonts w:hint="eastAsia" w:ascii="宋体" w:hAnsi="宋体" w:cs="宋体"/>
                <w:b/>
                <w:bCs/>
                <w:color w:val="auto"/>
                <w:sz w:val="21"/>
                <w:szCs w:val="21"/>
                <w:lang w:val="zh-CN"/>
              </w:rPr>
              <w:t>响应文件内附由法定代表人签字或盖章并加盖公章的承诺书</w:t>
            </w:r>
            <w:r>
              <w:rPr>
                <w:rFonts w:hint="eastAsia" w:ascii="宋体" w:hAnsi="宋体" w:cs="宋体"/>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3.单位负责人为同一人或者存在直接控股、管理关系的不同供应商，不得参加同一合同项下的政府采购活动。</w:t>
            </w:r>
          </w:p>
          <w:p>
            <w:pPr>
              <w:spacing w:line="300" w:lineRule="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b/>
                <w:bCs/>
                <w:color w:val="auto"/>
                <w:sz w:val="21"/>
                <w:szCs w:val="21"/>
              </w:rPr>
              <w:t>采购代理机构出具查询结果，由磋商小组进行认定</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tabs>
                <w:tab w:val="left" w:pos="200"/>
              </w:tabs>
              <w:spacing w:line="300" w:lineRule="auto"/>
              <w:jc w:val="center"/>
              <w:rPr>
                <w:rFonts w:ascii="宋体" w:hAnsi="宋体" w:cs="宋体"/>
                <w:bCs/>
                <w:color w:val="auto"/>
                <w:sz w:val="21"/>
                <w:szCs w:val="21"/>
              </w:rPr>
            </w:pPr>
            <w:r>
              <w:rPr>
                <w:rFonts w:hint="eastAsia" w:ascii="宋体" w:hAnsi="宋体" w:cs="宋体"/>
                <w:bCs/>
                <w:color w:val="auto"/>
                <w:sz w:val="21"/>
                <w:szCs w:val="21"/>
              </w:rPr>
              <w:t>授权委托书</w:t>
            </w:r>
          </w:p>
          <w:p>
            <w:pPr>
              <w:tabs>
                <w:tab w:val="left" w:pos="200"/>
              </w:tabs>
              <w:spacing w:line="300" w:lineRule="auto"/>
              <w:jc w:val="center"/>
              <w:rPr>
                <w:rFonts w:ascii="宋体" w:hAnsi="宋体" w:cs="宋体"/>
                <w:bCs/>
                <w:color w:val="auto"/>
                <w:sz w:val="21"/>
                <w:szCs w:val="21"/>
              </w:rPr>
            </w:pPr>
            <w:r>
              <w:rPr>
                <w:rFonts w:hint="eastAsia" w:ascii="宋体" w:hAnsi="宋体" w:cs="宋体"/>
                <w:bCs/>
                <w:color w:val="auto"/>
                <w:sz w:val="21"/>
                <w:szCs w:val="21"/>
              </w:rPr>
              <w:t>（如有）</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lang w:val="zh-CN"/>
              </w:rPr>
              <w:t>提供由法定代表人及委托代理人签字并加盖公章的授权委托书原件。（法定代表人直接磋商则不须提供委托书）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74" w:type="dxa"/>
            <w:vMerge w:val="continue"/>
            <w:tcBorders>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tabs>
                <w:tab w:val="left" w:pos="200"/>
              </w:tabs>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响应文件内附委托代理人所在供应商缴纳的近一年（2021年6月1日至2022年5月31日）任意连续三个月的社保证明材料复印件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4"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2.1.3</w:t>
            </w: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tc>
        <w:tc>
          <w:tcPr>
            <w:tcW w:w="677"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响应性</w:t>
            </w:r>
          </w:p>
          <w:p>
            <w:pPr>
              <w:spacing w:line="300" w:lineRule="auto"/>
              <w:rPr>
                <w:rFonts w:ascii="宋体" w:hAnsi="宋体" w:cs="宋体"/>
                <w:bCs/>
                <w:color w:val="auto"/>
                <w:sz w:val="21"/>
                <w:szCs w:val="21"/>
              </w:rPr>
            </w:pPr>
            <w:r>
              <w:rPr>
                <w:rFonts w:hint="eastAsia" w:ascii="宋体" w:hAnsi="宋体" w:cs="宋体"/>
                <w:bCs/>
                <w:color w:val="auto"/>
                <w:sz w:val="21"/>
                <w:szCs w:val="21"/>
              </w:rPr>
              <w:t>评审</w:t>
            </w: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标准</w:t>
            </w: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磋商内容</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auto"/>
                <w:sz w:val="21"/>
                <w:szCs w:val="21"/>
              </w:rPr>
            </w:pPr>
            <w:r>
              <w:rPr>
                <w:rFonts w:hint="eastAsia" w:ascii="宋体" w:hAnsi="宋体" w:cs="宋体"/>
                <w:color w:val="auto"/>
                <w:sz w:val="21"/>
                <w:szCs w:val="21"/>
              </w:rPr>
              <w:t>合同履行期限</w:t>
            </w:r>
          </w:p>
          <w:p>
            <w:pPr>
              <w:spacing w:line="300" w:lineRule="auto"/>
              <w:jc w:val="center"/>
              <w:rPr>
                <w:rFonts w:ascii="宋体" w:hAnsi="宋体" w:cs="宋体"/>
                <w:bCs/>
                <w:color w:val="auto"/>
                <w:sz w:val="21"/>
                <w:szCs w:val="21"/>
              </w:rPr>
            </w:pPr>
            <w:r>
              <w:rPr>
                <w:rFonts w:hint="eastAsia" w:ascii="宋体" w:hAnsi="宋体" w:cs="宋体"/>
                <w:color w:val="auto"/>
                <w:sz w:val="21"/>
                <w:szCs w:val="21"/>
              </w:rPr>
              <w:t>（计划工期）</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质量标准</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采购预算</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报价不允许超过采购预算。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质保期</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rPr>
              <w:t>符合第二章“供应商须知前附表”第10.5项规定。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磋商有效期</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磋商保证金</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人民币叁万元</w:t>
            </w:r>
          </w:p>
          <w:p>
            <w:pPr>
              <w:spacing w:line="300" w:lineRule="auto"/>
              <w:rPr>
                <w:rFonts w:ascii="宋体" w:hAnsi="宋体" w:cs="宋体"/>
                <w:bCs/>
                <w:color w:val="auto"/>
                <w:sz w:val="21"/>
                <w:szCs w:val="21"/>
              </w:rPr>
            </w:pPr>
            <w:r>
              <w:rPr>
                <w:rFonts w:hint="eastAsia" w:ascii="宋体" w:hAnsi="宋体" w:cs="宋体"/>
                <w:color w:val="auto"/>
                <w:sz w:val="21"/>
                <w:szCs w:val="21"/>
              </w:rPr>
              <w:t>提供磋商保证金证明材料原件，响应文件内附复印件加盖公章。供应商提供的银行出具的凭证信息与磋商文件中采购代理公司要求的银行信息应当相符，如不符合视为未提交磋商保证金。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权利义务</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符合第四章“合同文本”规定。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供应商承诺书</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符合第八章“响应文件内容及格式要求”要求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rPr>
                <w:rFonts w:hint="eastAsia" w:ascii="宋体" w:hAnsi="宋体" w:cs="宋体"/>
                <w:bCs/>
                <w:color w:val="auto"/>
                <w:sz w:val="21"/>
                <w:szCs w:val="21"/>
              </w:rPr>
            </w:pPr>
            <w:r>
              <w:rPr>
                <w:rFonts w:hint="eastAsia" w:ascii="宋体" w:hAnsi="宋体" w:cs="宋体"/>
                <w:color w:val="auto"/>
                <w:sz w:val="21"/>
                <w:szCs w:val="21"/>
              </w:rPr>
              <w:t>工程主材选材表</w:t>
            </w:r>
          </w:p>
        </w:tc>
        <w:tc>
          <w:tcPr>
            <w:tcW w:w="6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rPr>
                <w:rFonts w:hint="eastAsia" w:ascii="宋体" w:hAnsi="宋体" w:cs="宋体"/>
                <w:bCs/>
                <w:color w:val="auto"/>
                <w:sz w:val="21"/>
                <w:szCs w:val="21"/>
              </w:rPr>
            </w:pPr>
            <w:r>
              <w:rPr>
                <w:rFonts w:hint="eastAsia" w:ascii="宋体" w:hAnsi="宋体" w:cs="宋体"/>
                <w:color w:val="auto"/>
                <w:kern w:val="0"/>
                <w:sz w:val="21"/>
                <w:szCs w:val="21"/>
              </w:rPr>
              <w:t>响应文件内附加盖公章的</w:t>
            </w:r>
            <w:r>
              <w:rPr>
                <w:rFonts w:hint="eastAsia" w:ascii="宋体" w:hAnsi="宋体" w:cs="宋体"/>
                <w:color w:val="auto"/>
                <w:sz w:val="21"/>
                <w:szCs w:val="21"/>
              </w:rPr>
              <w:t>工程主材选材表。（</w:t>
            </w:r>
            <w:r>
              <w:rPr>
                <w:rFonts w:hint="eastAsia" w:ascii="宋体" w:hAnsi="宋体" w:cs="宋体"/>
                <w:color w:val="auto"/>
                <w:sz w:val="21"/>
                <w:szCs w:val="21"/>
                <w:lang w:val="zh-CN"/>
              </w:rPr>
              <w:t>符合第八章“响应文件内容及格式要求”要求</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已标价</w:t>
            </w: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工程量清单</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auto"/>
                <w:sz w:val="21"/>
                <w:szCs w:val="21"/>
                <w:lang w:val="zh-CN"/>
              </w:rPr>
            </w:pPr>
            <w:r>
              <w:rPr>
                <w:rFonts w:hint="eastAsia" w:ascii="宋体" w:hAnsi="宋体" w:cs="宋体"/>
                <w:color w:val="auto"/>
                <w:sz w:val="21"/>
                <w:szCs w:val="21"/>
                <w:lang w:val="zh-CN"/>
              </w:rPr>
              <w:t>符合第五章“工程量清单”给出的项目编码、项目名称、项目特征、计量单位、工程数量一致，并由注册造价师签字</w:t>
            </w:r>
            <w:r>
              <w:rPr>
                <w:rFonts w:hint="eastAsia" w:ascii="宋体" w:hAnsi="宋体" w:cs="宋体"/>
                <w:color w:val="auto"/>
                <w:sz w:val="21"/>
                <w:szCs w:val="21"/>
              </w:rPr>
              <w:t>并</w:t>
            </w:r>
            <w:r>
              <w:rPr>
                <w:rFonts w:hint="eastAsia" w:ascii="宋体" w:hAnsi="宋体" w:cs="宋体"/>
                <w:color w:val="auto"/>
                <w:sz w:val="21"/>
                <w:szCs w:val="21"/>
                <w:lang w:val="zh-CN"/>
              </w:rPr>
              <w:t>盖章，并符合相关法律及竞争性磋商文件规定。</w:t>
            </w:r>
          </w:p>
          <w:p>
            <w:pPr>
              <w:spacing w:line="312" w:lineRule="auto"/>
              <w:rPr>
                <w:rFonts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提供</w:t>
            </w:r>
            <w:r>
              <w:rPr>
                <w:rFonts w:hint="eastAsia" w:ascii="宋体" w:hAnsi="宋体" w:cs="宋体"/>
                <w:color w:val="auto"/>
                <w:sz w:val="21"/>
                <w:szCs w:val="21"/>
                <w:lang w:val="zh-CN"/>
              </w:rPr>
              <w:t>注册造价师证书复印件，响应文件内附复印件加盖公章。如不是本单位造价师，还需提供与造价公司签订的委托协议原件，响应文件内附复印件加盖公章。）</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注：磋商小组应当对响应文件清单部分进行基础性数据分析和整理(本章中简称为“清标”)，从而发现并提取其中可能存在的对采购范围理解的偏差、磋商报价的算术性错误、错漏项、磋商报价构成不合理、不平衡报价等存在明显异常的问题，并就这些问题整理形成清标成果。</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磋商小组对清标成果审议后，决定是否需要供应商进行书面澄清、说明或补正的问题。</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计价文件的编制，应采用以“广联达”计价软件为编制基础，递交计价软件版清单。</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如出现供应商报价严重偏离等情况，采购人有权将其响应文件做无效处理。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color w:val="auto"/>
                <w:sz w:val="21"/>
                <w:szCs w:val="21"/>
              </w:rPr>
              <w:t>磋商项目需求</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color w:val="auto"/>
                <w:sz w:val="21"/>
                <w:szCs w:val="21"/>
              </w:rPr>
              <w:t>满足第三章“磋商项目需求”规定。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其他要求</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满足竞争性磋商文件规要求。</w:t>
            </w:r>
          </w:p>
        </w:tc>
      </w:tr>
    </w:tbl>
    <w:p>
      <w:pPr>
        <w:adjustRightInd w:val="0"/>
        <w:snapToGrid w:val="0"/>
        <w:spacing w:line="312" w:lineRule="auto"/>
        <w:jc w:val="left"/>
        <w:rPr>
          <w:rFonts w:ascii="宋体" w:hAnsi="宋体" w:cs="宋体"/>
          <w:color w:val="auto"/>
          <w:sz w:val="21"/>
          <w:szCs w:val="21"/>
        </w:rPr>
      </w:pPr>
      <w:bookmarkStart w:id="115" w:name="_Toc8280"/>
      <w:bookmarkStart w:id="116" w:name="_Toc21026"/>
      <w:r>
        <w:rPr>
          <w:rFonts w:hint="eastAsia" w:ascii="宋体" w:hAnsi="宋体" w:cs="宋体"/>
          <w:color w:val="auto"/>
          <w:sz w:val="21"/>
          <w:szCs w:val="21"/>
          <w:lang w:val="zh-CN"/>
        </w:rPr>
        <w:t>其中有一项不合格则视为不合格，</w:t>
      </w:r>
      <w:r>
        <w:rPr>
          <w:rFonts w:hint="eastAsia" w:ascii="宋体" w:hAnsi="宋体" w:cs="宋体"/>
          <w:color w:val="auto"/>
          <w:sz w:val="21"/>
          <w:szCs w:val="21"/>
        </w:rPr>
        <w:t>则其响应文件作无效处理。</w:t>
      </w:r>
    </w:p>
    <w:p>
      <w:pPr>
        <w:pStyle w:val="6"/>
        <w:spacing w:before="0" w:after="0" w:line="312" w:lineRule="auto"/>
        <w:jc w:val="left"/>
        <w:rPr>
          <w:rFonts w:ascii="宋体" w:hAnsi="宋体" w:eastAsia="宋体" w:cs="宋体"/>
          <w:color w:val="auto"/>
          <w:sz w:val="21"/>
          <w:szCs w:val="21"/>
          <w:lang w:val="zh-CN"/>
        </w:rPr>
      </w:pPr>
      <w:bookmarkStart w:id="117" w:name="_Toc18227"/>
      <w:r>
        <w:rPr>
          <w:rFonts w:hint="eastAsia" w:ascii="宋体" w:hAnsi="宋体" w:eastAsia="宋体" w:cs="宋体"/>
          <w:color w:val="auto"/>
          <w:sz w:val="21"/>
          <w:szCs w:val="21"/>
        </w:rPr>
        <w:t>注：</w:t>
      </w:r>
      <w:r>
        <w:rPr>
          <w:rFonts w:hint="eastAsia" w:ascii="宋体" w:hAnsi="宋体" w:eastAsia="宋体" w:cs="宋体"/>
          <w:color w:val="auto"/>
          <w:sz w:val="21"/>
          <w:szCs w:val="21"/>
          <w:lang w:val="zh-CN"/>
        </w:rPr>
        <w:t>上述证件</w:t>
      </w:r>
      <w:r>
        <w:rPr>
          <w:rFonts w:hint="eastAsia" w:ascii="宋体" w:hAnsi="宋体" w:eastAsia="宋体" w:cs="宋体"/>
          <w:color w:val="auto"/>
          <w:sz w:val="21"/>
          <w:szCs w:val="21"/>
        </w:rPr>
        <w:t>若部分省建设行政主管部门已停止颁发纸制证书，可提供网上查询结果打印件加盖企业公章（鲜章），</w:t>
      </w:r>
      <w:r>
        <w:rPr>
          <w:rFonts w:hint="eastAsia" w:ascii="宋体" w:hAnsi="宋体" w:eastAsia="宋体" w:cs="宋体"/>
          <w:color w:val="auto"/>
          <w:sz w:val="21"/>
          <w:szCs w:val="21"/>
          <w:lang w:val="zh-CN"/>
        </w:rPr>
        <w:t>评审过程中，由磋商小组进行查询验证。</w:t>
      </w:r>
      <w:bookmarkEnd w:id="115"/>
      <w:bookmarkEnd w:id="116"/>
      <w:bookmarkEnd w:id="117"/>
    </w:p>
    <w:p>
      <w:pPr>
        <w:pStyle w:val="6"/>
        <w:spacing w:line="312" w:lineRule="auto"/>
        <w:jc w:val="left"/>
        <w:rPr>
          <w:rFonts w:ascii="宋体" w:hAnsi="宋体" w:eastAsia="宋体" w:cs="宋体"/>
          <w:bCs/>
          <w:color w:val="auto"/>
          <w:sz w:val="21"/>
          <w:szCs w:val="21"/>
        </w:rPr>
      </w:pPr>
      <w:r>
        <w:rPr>
          <w:rFonts w:hint="eastAsia" w:ascii="宋体" w:hAnsi="宋体" w:eastAsia="宋体" w:cs="宋体"/>
          <w:color w:val="auto"/>
          <w:sz w:val="21"/>
          <w:szCs w:val="21"/>
          <w:lang w:val="zh-CN"/>
        </w:rPr>
        <w:br w:type="page"/>
      </w:r>
      <w:bookmarkStart w:id="118" w:name="_Toc29254"/>
      <w:bookmarkStart w:id="119" w:name="_Toc28324"/>
      <w:bookmarkStart w:id="120" w:name="_Toc4286"/>
      <w:bookmarkStart w:id="121" w:name="_Toc450"/>
      <w:r>
        <w:rPr>
          <w:rFonts w:hint="eastAsia" w:ascii="宋体" w:hAnsi="宋体" w:eastAsia="宋体" w:cs="宋体"/>
          <w:bCs/>
          <w:color w:val="auto"/>
          <w:sz w:val="28"/>
          <w:szCs w:val="28"/>
        </w:rPr>
        <w:t>评审办法前附表（二）</w:t>
      </w:r>
      <w:bookmarkEnd w:id="118"/>
      <w:bookmarkEnd w:id="119"/>
      <w:bookmarkEnd w:id="120"/>
      <w:bookmarkEnd w:id="121"/>
    </w:p>
    <w:tbl>
      <w:tblPr>
        <w:tblStyle w:val="5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6"/>
        <w:gridCol w:w="1915"/>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51"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条款号</w:t>
            </w:r>
          </w:p>
        </w:tc>
        <w:tc>
          <w:tcPr>
            <w:tcW w:w="2981" w:type="dxa"/>
            <w:gridSpan w:val="2"/>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评审因素</w:t>
            </w:r>
          </w:p>
        </w:tc>
        <w:tc>
          <w:tcPr>
            <w:tcW w:w="6146"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2.2.1</w:t>
            </w:r>
          </w:p>
        </w:tc>
        <w:tc>
          <w:tcPr>
            <w:tcW w:w="2981" w:type="dxa"/>
            <w:gridSpan w:val="2"/>
            <w:vAlign w:val="center"/>
          </w:tcPr>
          <w:p>
            <w:pPr>
              <w:adjustRightInd w:val="0"/>
              <w:snapToGrid w:val="0"/>
              <w:spacing w:line="300" w:lineRule="auto"/>
              <w:jc w:val="center"/>
              <w:rPr>
                <w:rFonts w:ascii="宋体" w:hAnsi="宋体" w:cs="宋体"/>
                <w:color w:val="auto"/>
                <w:sz w:val="21"/>
                <w:szCs w:val="21"/>
              </w:rPr>
            </w:pPr>
            <w:r>
              <w:rPr>
                <w:rFonts w:hint="eastAsia" w:ascii="宋体" w:hAnsi="宋体" w:cs="宋体"/>
                <w:color w:val="auto"/>
                <w:sz w:val="21"/>
                <w:szCs w:val="21"/>
              </w:rPr>
              <w:t>分值构成</w:t>
            </w:r>
          </w:p>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(总分100分)</w:t>
            </w:r>
          </w:p>
        </w:tc>
        <w:tc>
          <w:tcPr>
            <w:tcW w:w="6146" w:type="dxa"/>
            <w:vAlign w:val="center"/>
          </w:tcPr>
          <w:p>
            <w:pPr>
              <w:adjustRightInd w:val="0"/>
              <w:snapToGrid w:val="0"/>
              <w:spacing w:line="300" w:lineRule="auto"/>
              <w:rPr>
                <w:rFonts w:ascii="宋体" w:hAnsi="宋体" w:cs="宋体"/>
                <w:color w:val="auto"/>
                <w:sz w:val="21"/>
                <w:szCs w:val="21"/>
              </w:rPr>
            </w:pPr>
            <w:r>
              <w:rPr>
                <w:rFonts w:hint="eastAsia" w:ascii="宋体" w:hAnsi="宋体" w:cs="宋体"/>
                <w:color w:val="auto"/>
                <w:sz w:val="21"/>
                <w:szCs w:val="21"/>
              </w:rPr>
              <w:t>施工组织设计：30分</w:t>
            </w:r>
          </w:p>
          <w:p>
            <w:pPr>
              <w:adjustRightInd w:val="0"/>
              <w:snapToGrid w:val="0"/>
              <w:spacing w:line="300" w:lineRule="auto"/>
              <w:rPr>
                <w:rFonts w:ascii="宋体" w:hAnsi="宋体" w:cs="宋体"/>
                <w:color w:val="auto"/>
                <w:sz w:val="21"/>
                <w:szCs w:val="21"/>
              </w:rPr>
            </w:pPr>
            <w:r>
              <w:rPr>
                <w:rFonts w:hint="eastAsia" w:ascii="宋体" w:hAnsi="宋体" w:cs="宋体"/>
                <w:color w:val="auto"/>
                <w:sz w:val="21"/>
                <w:szCs w:val="21"/>
              </w:rPr>
              <w:t>磋商报价：</w:t>
            </w:r>
            <w:r>
              <w:rPr>
                <w:rFonts w:hint="eastAsia" w:ascii="宋体" w:hAnsi="宋体" w:cs="宋体"/>
                <w:color w:val="auto"/>
                <w:sz w:val="21"/>
                <w:szCs w:val="21"/>
                <w:lang w:val="en-US" w:eastAsia="zh-CN"/>
              </w:rPr>
              <w:t>5</w:t>
            </w:r>
            <w:r>
              <w:rPr>
                <w:rFonts w:hint="eastAsia" w:ascii="宋体" w:hAnsi="宋体" w:cs="宋体"/>
                <w:color w:val="auto"/>
                <w:sz w:val="21"/>
                <w:szCs w:val="21"/>
              </w:rPr>
              <w:t>0分</w:t>
            </w:r>
          </w:p>
          <w:p>
            <w:pPr>
              <w:adjustRightInd w:val="0"/>
              <w:snapToGrid w:val="0"/>
              <w:spacing w:line="300" w:lineRule="auto"/>
              <w:rPr>
                <w:rFonts w:ascii="宋体" w:hAnsi="宋体" w:cs="宋体"/>
                <w:color w:val="auto"/>
                <w:sz w:val="21"/>
                <w:szCs w:val="21"/>
              </w:rPr>
            </w:pPr>
            <w:r>
              <w:rPr>
                <w:rFonts w:hint="eastAsia" w:ascii="宋体" w:hAnsi="宋体" w:cs="宋体"/>
                <w:color w:val="auto"/>
                <w:sz w:val="21"/>
                <w:szCs w:val="21"/>
              </w:rPr>
              <w:t>商务部分：</w:t>
            </w:r>
            <w:r>
              <w:rPr>
                <w:rFonts w:hint="eastAsia" w:ascii="宋体" w:hAnsi="宋体" w:cs="宋体"/>
                <w:color w:val="auto"/>
                <w:sz w:val="21"/>
                <w:szCs w:val="21"/>
                <w:lang w:val="en-US" w:eastAsia="zh-CN"/>
              </w:rPr>
              <w:t>2</w:t>
            </w:r>
            <w:r>
              <w:rPr>
                <w:rFonts w:hint="eastAsia" w:ascii="宋体" w:hAnsi="宋体" w:cs="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51" w:type="dxa"/>
            <w:vAlign w:val="center"/>
          </w:tcPr>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2.2.2</w:t>
            </w:r>
          </w:p>
        </w:tc>
        <w:tc>
          <w:tcPr>
            <w:tcW w:w="2981" w:type="dxa"/>
            <w:gridSpan w:val="2"/>
            <w:vAlign w:val="center"/>
          </w:tcPr>
          <w:p>
            <w:pPr>
              <w:adjustRightInd w:val="0"/>
              <w:snapToGrid w:val="0"/>
              <w:spacing w:line="300" w:lineRule="auto"/>
              <w:jc w:val="center"/>
              <w:rPr>
                <w:rFonts w:ascii="宋体" w:hAnsi="宋体" w:cs="宋体"/>
                <w:color w:val="auto"/>
                <w:sz w:val="21"/>
                <w:szCs w:val="21"/>
              </w:rPr>
            </w:pPr>
            <w:r>
              <w:rPr>
                <w:rFonts w:hint="eastAsia" w:ascii="宋体" w:hAnsi="宋体" w:cs="宋体"/>
                <w:color w:val="auto"/>
                <w:sz w:val="21"/>
                <w:szCs w:val="21"/>
              </w:rPr>
              <w:t>基准价计算</w:t>
            </w:r>
          </w:p>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方法</w:t>
            </w:r>
          </w:p>
        </w:tc>
        <w:tc>
          <w:tcPr>
            <w:tcW w:w="6146" w:type="dxa"/>
            <w:vAlign w:val="center"/>
          </w:tcPr>
          <w:p>
            <w:pPr>
              <w:spacing w:line="300" w:lineRule="auto"/>
              <w:rPr>
                <w:color w:val="auto"/>
              </w:rPr>
            </w:pPr>
            <w:r>
              <w:rPr>
                <w:rFonts w:hint="eastAsia" w:ascii="宋体" w:hAnsi="宋体" w:cs="宋体"/>
                <w:bCs/>
                <w:color w:val="auto"/>
                <w:sz w:val="21"/>
                <w:szCs w:val="21"/>
              </w:rPr>
              <w:t>基准价为所有通过初步评审合格的供应商有效磋商报价中的最低报价</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51"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条款号</w:t>
            </w:r>
          </w:p>
        </w:tc>
        <w:tc>
          <w:tcPr>
            <w:tcW w:w="2981" w:type="dxa"/>
            <w:gridSpan w:val="2"/>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评审因素</w:t>
            </w:r>
          </w:p>
        </w:tc>
        <w:tc>
          <w:tcPr>
            <w:tcW w:w="6146"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851"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2.2.3</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(1)</w:t>
            </w:r>
          </w:p>
        </w:tc>
        <w:tc>
          <w:tcPr>
            <w:tcW w:w="1066"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bCs/>
                <w:color w:val="auto"/>
                <w:sz w:val="21"/>
                <w:szCs w:val="21"/>
              </w:rPr>
              <w:t>施工组织设计评分标   准（30分）</w:t>
            </w: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疫情</w:t>
            </w:r>
            <w:r>
              <w:rPr>
                <w:rFonts w:ascii="宋体" w:hAnsi="宋体" w:cs="宋体"/>
                <w:bCs/>
                <w:color w:val="auto"/>
                <w:sz w:val="21"/>
                <w:szCs w:val="21"/>
              </w:rPr>
              <w:t>防控工作方案</w:t>
            </w:r>
          </w:p>
          <w:p>
            <w:pPr>
              <w:pStyle w:val="9"/>
              <w:spacing w:before="0" w:after="0" w:line="300" w:lineRule="auto"/>
              <w:jc w:val="center"/>
              <w:rPr>
                <w:rFonts w:ascii="宋体" w:hAnsi="宋体" w:cs="宋体"/>
                <w:bCs/>
                <w:color w:val="auto"/>
                <w:sz w:val="21"/>
                <w:szCs w:val="21"/>
              </w:rPr>
            </w:pPr>
            <w:r>
              <w:rPr>
                <w:rFonts w:hint="eastAsia" w:ascii="宋体" w:hAnsi="宋体" w:eastAsia="宋体" w:cs="宋体"/>
                <w:b w:val="0"/>
                <w:color w:val="auto"/>
                <w:sz w:val="21"/>
                <w:szCs w:val="21"/>
              </w:rPr>
              <w:t>（5分）</w:t>
            </w:r>
          </w:p>
        </w:tc>
        <w:tc>
          <w:tcPr>
            <w:tcW w:w="6146" w:type="dxa"/>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疫情防控措施有力、合理、可行得5分；</w:t>
            </w:r>
          </w:p>
          <w:p>
            <w:pPr>
              <w:spacing w:line="300" w:lineRule="auto"/>
              <w:rPr>
                <w:rFonts w:ascii="宋体" w:hAnsi="宋体" w:cs="宋体"/>
                <w:bCs/>
                <w:color w:val="auto"/>
                <w:sz w:val="21"/>
                <w:szCs w:val="21"/>
              </w:rPr>
            </w:pPr>
            <w:r>
              <w:rPr>
                <w:rFonts w:hint="eastAsia" w:ascii="宋体" w:hAnsi="宋体" w:cs="宋体"/>
                <w:bCs/>
                <w:color w:val="auto"/>
                <w:sz w:val="21"/>
                <w:szCs w:val="21"/>
              </w:rPr>
              <w:t>疫情防控措施合理、可行得3分；</w:t>
            </w:r>
          </w:p>
          <w:p>
            <w:pPr>
              <w:spacing w:line="300" w:lineRule="auto"/>
              <w:rPr>
                <w:rFonts w:ascii="宋体" w:hAnsi="宋体" w:cs="宋体"/>
                <w:bCs/>
                <w:color w:val="auto"/>
                <w:sz w:val="21"/>
                <w:szCs w:val="21"/>
              </w:rPr>
            </w:pPr>
            <w:r>
              <w:rPr>
                <w:rFonts w:hint="eastAsia" w:ascii="宋体" w:hAnsi="宋体" w:cs="宋体"/>
                <w:bCs/>
                <w:color w:val="auto"/>
                <w:sz w:val="21"/>
                <w:szCs w:val="21"/>
              </w:rPr>
              <w:t>疫情防控措施基本可行得1分；无得0分。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51" w:type="dxa"/>
            <w:vMerge w:val="continue"/>
          </w:tcPr>
          <w:p>
            <w:pPr>
              <w:spacing w:line="300" w:lineRule="auto"/>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施工方案与</w:t>
            </w:r>
            <w:r>
              <w:rPr>
                <w:rFonts w:hint="eastAsia" w:ascii="宋体" w:hAnsi="宋体"/>
                <w:color w:val="auto"/>
                <w:sz w:val="21"/>
                <w:szCs w:val="21"/>
              </w:rPr>
              <w:t>技术保证措施</w:t>
            </w:r>
            <w:r>
              <w:rPr>
                <w:rFonts w:hint="eastAsia" w:ascii="宋体" w:hAnsi="宋体" w:cs="宋体"/>
                <w:bCs/>
                <w:color w:val="auto"/>
                <w:sz w:val="21"/>
                <w:szCs w:val="21"/>
              </w:rPr>
              <w:t>（5分）</w:t>
            </w:r>
          </w:p>
        </w:tc>
        <w:tc>
          <w:tcPr>
            <w:tcW w:w="6146" w:type="dxa"/>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对施工关键工序控制措施有力、合理、可行得5分；</w:t>
            </w:r>
          </w:p>
          <w:p>
            <w:pPr>
              <w:spacing w:line="300" w:lineRule="auto"/>
              <w:rPr>
                <w:rFonts w:ascii="宋体" w:hAnsi="宋体" w:cs="宋体"/>
                <w:bCs/>
                <w:color w:val="auto"/>
                <w:sz w:val="21"/>
                <w:szCs w:val="21"/>
              </w:rPr>
            </w:pPr>
            <w:r>
              <w:rPr>
                <w:rFonts w:hint="eastAsia" w:ascii="宋体" w:hAnsi="宋体" w:cs="宋体"/>
                <w:bCs/>
                <w:color w:val="auto"/>
                <w:sz w:val="21"/>
                <w:szCs w:val="21"/>
              </w:rPr>
              <w:t>对施工关键工序控制措施合理、可行得3分；</w:t>
            </w:r>
          </w:p>
          <w:p>
            <w:pPr>
              <w:spacing w:line="300" w:lineRule="auto"/>
              <w:rPr>
                <w:rFonts w:ascii="宋体" w:hAnsi="宋体" w:cs="宋体"/>
                <w:bCs/>
                <w:color w:val="auto"/>
                <w:sz w:val="21"/>
                <w:szCs w:val="21"/>
              </w:rPr>
            </w:pPr>
            <w:r>
              <w:rPr>
                <w:rFonts w:hint="eastAsia" w:ascii="宋体" w:hAnsi="宋体" w:cs="宋体"/>
                <w:bCs/>
                <w:color w:val="auto"/>
                <w:sz w:val="21"/>
                <w:szCs w:val="21"/>
              </w:rPr>
              <w:t>对施工关键工序控制基本可行得1分；无得0分。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质量管理体系与措施（5分）</w:t>
            </w:r>
          </w:p>
        </w:tc>
        <w:tc>
          <w:tcPr>
            <w:tcW w:w="6146" w:type="dxa"/>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各主要工序质量保障措施齐全、科学、具体、可行，对常见的质量通病的防治措施得力，质量保证体系完善的5分；</w:t>
            </w:r>
          </w:p>
          <w:p>
            <w:pPr>
              <w:spacing w:line="300" w:lineRule="auto"/>
              <w:rPr>
                <w:rFonts w:ascii="宋体" w:hAnsi="宋体" w:cs="宋体"/>
                <w:bCs/>
                <w:color w:val="auto"/>
                <w:sz w:val="21"/>
                <w:szCs w:val="21"/>
              </w:rPr>
            </w:pPr>
            <w:r>
              <w:rPr>
                <w:rFonts w:hint="eastAsia" w:ascii="宋体" w:hAnsi="宋体" w:cs="宋体"/>
                <w:bCs/>
                <w:color w:val="auto"/>
                <w:sz w:val="21"/>
                <w:szCs w:val="21"/>
              </w:rPr>
              <w:t>各主要工序质量保障措施基本齐全、具体、可行，对常见的质量通病的防治措施合理，质量保证体系基本完善得3分；</w:t>
            </w:r>
          </w:p>
          <w:p>
            <w:pPr>
              <w:widowControl/>
              <w:spacing w:line="300" w:lineRule="auto"/>
              <w:jc w:val="left"/>
              <w:rPr>
                <w:rFonts w:ascii="宋体" w:hAnsi="宋体" w:cs="宋体"/>
                <w:bCs/>
                <w:color w:val="auto"/>
                <w:sz w:val="21"/>
                <w:szCs w:val="21"/>
              </w:rPr>
            </w:pPr>
            <w:r>
              <w:rPr>
                <w:rFonts w:hint="eastAsia" w:ascii="宋体" w:hAnsi="宋体" w:cs="宋体"/>
                <w:bCs/>
                <w:color w:val="auto"/>
                <w:sz w:val="21"/>
                <w:szCs w:val="21"/>
              </w:rPr>
              <w:t>各主要工序质量保障措施基本齐全、合理，对常见的质量通病的防治措施基本可行，具有质量保证体系得1分；无得0分。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51" w:type="dxa"/>
            <w:vMerge w:val="continue"/>
          </w:tcPr>
          <w:p>
            <w:pPr>
              <w:spacing w:line="300" w:lineRule="auto"/>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安全管理体系与措施（4分）</w:t>
            </w:r>
          </w:p>
        </w:tc>
        <w:tc>
          <w:tcPr>
            <w:tcW w:w="6146" w:type="dxa"/>
            <w:vAlign w:val="center"/>
          </w:tcPr>
          <w:p>
            <w:pPr>
              <w:spacing w:line="300" w:lineRule="auto"/>
              <w:rPr>
                <w:rFonts w:ascii="宋体" w:hAnsi="宋体" w:cs="宋体"/>
                <w:bCs/>
                <w:color w:val="auto"/>
                <w:sz w:val="21"/>
                <w:szCs w:val="21"/>
              </w:rPr>
            </w:pPr>
            <w:r>
              <w:rPr>
                <w:rFonts w:hint="eastAsia" w:ascii="宋体" w:hAnsi="宋体"/>
                <w:color w:val="auto"/>
                <w:sz w:val="21"/>
                <w:szCs w:val="21"/>
              </w:rPr>
              <w:t>安全管理体系健全、安全防护措施符合国家及地方相关管理规定，防护措施有一定的针对性，方案</w:t>
            </w:r>
            <w:r>
              <w:rPr>
                <w:rFonts w:hint="eastAsia" w:ascii="宋体" w:hAnsi="宋体" w:cs="宋体"/>
                <w:bCs/>
                <w:color w:val="auto"/>
                <w:sz w:val="21"/>
                <w:szCs w:val="21"/>
              </w:rPr>
              <w:t>完整、合理、可行得4分；方案较完整、合理、可行得2分；方案基本可行得1分；无不得分。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工程进度计划与保证措施（3分）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s="宋体"/>
                <w:bCs/>
                <w:color w:val="auto"/>
                <w:sz w:val="21"/>
                <w:szCs w:val="21"/>
              </w:rPr>
              <w:t>施工总体进度计划及工期等保证措施制定方案完整、合理、可行得3分；方案较完整、合理、可行得2分；方案基本可行得1分；无不得分。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劳动力需求计划</w:t>
            </w:r>
          </w:p>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s="宋体"/>
                <w:bCs/>
                <w:color w:val="auto"/>
                <w:sz w:val="21"/>
                <w:szCs w:val="21"/>
              </w:rPr>
              <w:t>针对劳动力准备、劳动力保障等内容制定相应计划，合理、可行得2分；基本合理得1分；基本可行得0.5分；无不得分。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color w:val="auto"/>
                <w:sz w:val="21"/>
                <w:szCs w:val="21"/>
              </w:rPr>
            </w:pPr>
            <w:r>
              <w:rPr>
                <w:rFonts w:hint="eastAsia" w:ascii="宋体" w:hAnsi="宋体"/>
                <w:color w:val="auto"/>
                <w:sz w:val="21"/>
                <w:szCs w:val="21"/>
              </w:rPr>
              <w:t>成品保护和工程保修工作的管理措施和承诺（2分）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olor w:val="auto"/>
                <w:sz w:val="21"/>
                <w:szCs w:val="21"/>
              </w:rPr>
              <w:t>成品保护内容健全、保修工作管理措施符合国家及地方相关管理规定，措施有一定的针对性，方案</w:t>
            </w:r>
            <w:r>
              <w:rPr>
                <w:rFonts w:hint="eastAsia" w:ascii="宋体" w:hAnsi="宋体" w:cs="宋体"/>
                <w:bCs/>
                <w:color w:val="auto"/>
                <w:sz w:val="21"/>
                <w:szCs w:val="21"/>
              </w:rPr>
              <w:t>完整、合理、可行得2分；方案较完整、合理、可行得1分；方案基本可行得0.5分；无不得分。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lang w:val="zh-CN"/>
              </w:rPr>
            </w:pPr>
            <w:r>
              <w:rPr>
                <w:rFonts w:hint="eastAsia" w:ascii="宋体" w:hAnsi="宋体" w:cs="宋体"/>
                <w:bCs/>
                <w:color w:val="auto"/>
                <w:sz w:val="21"/>
                <w:szCs w:val="21"/>
              </w:rPr>
              <w:t>紧急情况的处理措施、预案以及抵抗风险的措施（2分）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olor w:val="auto"/>
                <w:sz w:val="21"/>
                <w:szCs w:val="21"/>
              </w:rPr>
              <w:t>紧急情况处理措施及预案完善，抵抗风险的措施有一定的针对性且符合国家及地方相关管理规定，方案</w:t>
            </w:r>
            <w:r>
              <w:rPr>
                <w:rFonts w:hint="eastAsia" w:ascii="宋体" w:hAnsi="宋体" w:cs="宋体"/>
                <w:bCs/>
                <w:color w:val="auto"/>
                <w:sz w:val="21"/>
                <w:szCs w:val="21"/>
              </w:rPr>
              <w:t>完整、合理、可行得2分；方案较完整、合理、可行得1分；方案基本可行得0.5分；无不得分。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与业主的配合措施</w:t>
            </w:r>
          </w:p>
          <w:p>
            <w:pPr>
              <w:autoSpaceDE w:val="0"/>
              <w:autoSpaceDN w:val="0"/>
              <w:adjustRightInd w:val="0"/>
              <w:spacing w:line="300" w:lineRule="auto"/>
              <w:jc w:val="center"/>
              <w:rPr>
                <w:rFonts w:ascii="宋体" w:hAnsi="宋体" w:cs="宋体"/>
                <w:bCs/>
                <w:color w:val="auto"/>
                <w:sz w:val="21"/>
                <w:szCs w:val="21"/>
                <w:lang w:val="zh-CN"/>
              </w:rPr>
            </w:pPr>
            <w:r>
              <w:rPr>
                <w:rFonts w:hint="eastAsia" w:ascii="宋体" w:hAnsi="宋体" w:cs="宋体"/>
                <w:bCs/>
                <w:color w:val="auto"/>
                <w:sz w:val="21"/>
                <w:szCs w:val="21"/>
              </w:rPr>
              <w:t>（2分）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s="宋体"/>
                <w:bCs/>
                <w:color w:val="auto"/>
                <w:sz w:val="21"/>
                <w:szCs w:val="21"/>
              </w:rPr>
              <w:t>针对业主要求及时响应，处理方案、措施合理、可行得2分；基本可行得1分；不可行不得分。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2.2.3（2）</w:t>
            </w:r>
          </w:p>
        </w:tc>
        <w:tc>
          <w:tcPr>
            <w:tcW w:w="1066"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磋商报价</w:t>
            </w:r>
            <w:r>
              <w:rPr>
                <w:rFonts w:hint="eastAsia" w:ascii="宋体" w:hAnsi="宋体" w:cs="宋体"/>
                <w:bCs/>
                <w:color w:val="auto"/>
                <w:sz w:val="21"/>
                <w:szCs w:val="21"/>
              </w:rPr>
              <w:t>（50</w:t>
            </w:r>
            <w:r>
              <w:rPr>
                <w:rFonts w:hint="eastAsia" w:ascii="宋体" w:hAnsi="宋体" w:cs="宋体"/>
                <w:bCs/>
                <w:color w:val="auto"/>
                <w:sz w:val="21"/>
                <w:szCs w:val="21"/>
                <w:lang w:val="zh-CN"/>
              </w:rPr>
              <w:t>分</w:t>
            </w:r>
            <w:r>
              <w:rPr>
                <w:rFonts w:hint="eastAsia" w:ascii="宋体" w:hAnsi="宋体" w:cs="宋体"/>
                <w:bCs/>
                <w:color w:val="auto"/>
                <w:sz w:val="21"/>
                <w:szCs w:val="21"/>
              </w:rPr>
              <w:t>）</w:t>
            </w:r>
          </w:p>
        </w:tc>
        <w:tc>
          <w:tcPr>
            <w:tcW w:w="1915" w:type="dxa"/>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磋商报价</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得分标准</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rPr>
              <w:t>45分</w:t>
            </w:r>
            <w:r>
              <w:rPr>
                <w:rFonts w:hint="eastAsia" w:ascii="宋体" w:hAnsi="宋体" w:cs="宋体"/>
                <w:bCs/>
                <w:color w:val="auto"/>
                <w:sz w:val="21"/>
                <w:szCs w:val="21"/>
                <w:lang w:val="zh-CN"/>
              </w:rPr>
              <w:t>）</w:t>
            </w:r>
          </w:p>
        </w:tc>
        <w:tc>
          <w:tcPr>
            <w:tcW w:w="6146" w:type="dxa"/>
            <w:vAlign w:val="center"/>
          </w:tcPr>
          <w:p>
            <w:pPr>
              <w:snapToGrid w:val="0"/>
              <w:spacing w:line="300" w:lineRule="auto"/>
              <w:rPr>
                <w:rFonts w:ascii="宋体" w:hAnsi="宋体" w:cs="宋体"/>
                <w:color w:val="auto"/>
                <w:kern w:val="0"/>
                <w:sz w:val="21"/>
                <w:szCs w:val="21"/>
              </w:rPr>
            </w:pPr>
            <w:r>
              <w:rPr>
                <w:rFonts w:hint="eastAsia" w:ascii="宋体" w:hAnsi="宋体" w:cs="宋体"/>
                <w:color w:val="auto"/>
                <w:kern w:val="0"/>
                <w:sz w:val="21"/>
                <w:szCs w:val="21"/>
              </w:rPr>
              <w:t>基准价为所有通过初步评审合格的供应商有效磋商报价中的最低报价，其价格分为满分。其他供应商的价格分统一按照下列公式计算：</w:t>
            </w:r>
          </w:p>
          <w:p>
            <w:pPr>
              <w:snapToGrid w:val="0"/>
              <w:spacing w:line="300" w:lineRule="auto"/>
              <w:rPr>
                <w:rFonts w:ascii="宋体" w:hAnsi="宋体" w:cs="宋体"/>
                <w:color w:val="auto"/>
                <w:kern w:val="0"/>
                <w:sz w:val="21"/>
                <w:szCs w:val="21"/>
              </w:rPr>
            </w:pPr>
            <w:r>
              <w:rPr>
                <w:rFonts w:hint="eastAsia" w:ascii="宋体" w:hAnsi="宋体" w:cs="宋体"/>
                <w:color w:val="auto"/>
                <w:kern w:val="0"/>
                <w:sz w:val="21"/>
                <w:szCs w:val="21"/>
              </w:rPr>
              <w:t>报价得分=（磋商基准价/磋商报价）*价格权重（0.45）*100，四舍五入保留小数点后两位有效数字。</w:t>
            </w:r>
          </w:p>
          <w:p>
            <w:pPr>
              <w:spacing w:line="300" w:lineRule="auto"/>
              <w:rPr>
                <w:rFonts w:ascii="宋体" w:hAnsi="宋体" w:cs="宋体"/>
                <w:color w:val="auto"/>
                <w:sz w:val="21"/>
                <w:szCs w:val="21"/>
              </w:rPr>
            </w:pPr>
            <w:r>
              <w:rPr>
                <w:rFonts w:hint="eastAsia" w:ascii="宋体" w:hAnsi="宋体" w:cs="宋体"/>
                <w:color w:val="auto"/>
                <w:kern w:val="0"/>
                <w:sz w:val="21"/>
                <w:szCs w:val="21"/>
              </w:rPr>
              <w:t>如果磋商小组认为最低的报价明显低于供应商其成本价格,有可能影响本工程质量和不能诚信履约的，应当要求该供应商在规定的期限内予以解释说明并提供相关证明材料，供应商不能合理解释或提供相关证明材料的，则磋商小组认定其以低于成本价报价，其报价不能作为基准价,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vAlign w:val="center"/>
          </w:tcPr>
          <w:p>
            <w:pPr>
              <w:spacing w:line="300" w:lineRule="auto"/>
              <w:jc w:val="center"/>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清标结果得分</w:t>
            </w:r>
          </w:p>
          <w:p>
            <w:pPr>
              <w:pStyle w:val="9"/>
              <w:spacing w:before="0" w:after="0" w:line="300" w:lineRule="auto"/>
              <w:jc w:val="center"/>
              <w:rPr>
                <w:rFonts w:ascii="宋体" w:hAnsi="宋体" w:cs="宋体"/>
                <w:bCs/>
                <w:color w:val="auto"/>
                <w:sz w:val="21"/>
                <w:szCs w:val="21"/>
                <w:lang w:val="zh-CN"/>
              </w:rPr>
            </w:pPr>
            <w:r>
              <w:rPr>
                <w:rFonts w:hint="eastAsia" w:ascii="宋体" w:hAnsi="宋体" w:eastAsia="宋体"/>
                <w:b w:val="0"/>
                <w:color w:val="auto"/>
                <w:sz w:val="21"/>
                <w:szCs w:val="21"/>
              </w:rPr>
              <w:t>（5分）</w:t>
            </w:r>
          </w:p>
        </w:tc>
        <w:tc>
          <w:tcPr>
            <w:tcW w:w="6146" w:type="dxa"/>
            <w:vAlign w:val="center"/>
          </w:tcPr>
          <w:p>
            <w:pPr>
              <w:spacing w:line="300" w:lineRule="auto"/>
              <w:rPr>
                <w:rFonts w:ascii="宋体" w:hAnsi="宋体" w:cs="宋体"/>
                <w:color w:val="auto"/>
                <w:kern w:val="0"/>
                <w:sz w:val="21"/>
                <w:szCs w:val="21"/>
              </w:rPr>
            </w:pPr>
            <w:r>
              <w:rPr>
                <w:rFonts w:hint="eastAsia" w:ascii="宋体" w:hAnsi="宋体" w:cs="宋体"/>
                <w:bCs/>
                <w:color w:val="auto"/>
                <w:sz w:val="21"/>
                <w:szCs w:val="21"/>
              </w:rPr>
              <w:t>选取一定数量主材清单项进行比较（由</w:t>
            </w:r>
            <w:r>
              <w:rPr>
                <w:rFonts w:hint="eastAsia" w:ascii="宋体" w:hAnsi="宋体" w:cs="宋体"/>
                <w:bCs/>
                <w:color w:val="auto"/>
                <w:sz w:val="21"/>
                <w:szCs w:val="21"/>
                <w:lang w:val="en-US" w:eastAsia="zh-CN"/>
              </w:rPr>
              <w:t>磋商小组</w:t>
            </w:r>
            <w:r>
              <w:rPr>
                <w:rFonts w:hint="eastAsia" w:ascii="宋体" w:hAnsi="宋体" w:cs="宋体"/>
                <w:bCs/>
                <w:color w:val="auto"/>
                <w:sz w:val="21"/>
                <w:szCs w:val="21"/>
              </w:rPr>
              <w:t>研究确定主材清单项）。其中不低于清单项控制价的清单报价按照清单控制价参与计算，低于清单项控制价的按照清单项报价参与计算。计算方法：将每个清单项报价除以清单项控制价结果计算平均数，按照平均数由高到低进行排名，排名第一得5分，以后依次递减1分，第六名以后不得分（相同排名得分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2.2.3</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(3)</w:t>
            </w:r>
          </w:p>
        </w:tc>
        <w:tc>
          <w:tcPr>
            <w:tcW w:w="1066" w:type="dxa"/>
            <w:vMerge w:val="restart"/>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商务部分（20分）</w:t>
            </w:r>
          </w:p>
        </w:tc>
        <w:tc>
          <w:tcPr>
            <w:tcW w:w="1915" w:type="dxa"/>
            <w:vAlign w:val="center"/>
          </w:tcPr>
          <w:p>
            <w:pPr>
              <w:autoSpaceDE w:val="0"/>
              <w:autoSpaceDN w:val="0"/>
              <w:adjustRightInd w:val="0"/>
              <w:spacing w:line="312" w:lineRule="auto"/>
              <w:jc w:val="center"/>
              <w:rPr>
                <w:rFonts w:ascii="宋体" w:hAnsi="宋体" w:cs="宋体"/>
                <w:bCs/>
                <w:color w:val="auto"/>
                <w:kern w:val="0"/>
                <w:sz w:val="21"/>
                <w:szCs w:val="21"/>
              </w:rPr>
            </w:pPr>
            <w:r>
              <w:rPr>
                <w:rFonts w:hint="eastAsia" w:ascii="宋体" w:hAnsi="宋体" w:cs="宋体"/>
                <w:bCs/>
                <w:color w:val="auto"/>
                <w:kern w:val="0"/>
                <w:sz w:val="21"/>
                <w:szCs w:val="21"/>
              </w:rPr>
              <w:t>企业业绩</w:t>
            </w:r>
          </w:p>
          <w:p>
            <w:pPr>
              <w:autoSpaceDE w:val="0"/>
              <w:autoSpaceDN w:val="0"/>
              <w:adjustRightInd w:val="0"/>
              <w:spacing w:line="312" w:lineRule="auto"/>
              <w:jc w:val="center"/>
              <w:rPr>
                <w:rFonts w:ascii="宋体" w:hAnsi="宋体" w:cs="宋体"/>
                <w:bCs/>
                <w:color w:val="auto"/>
                <w:sz w:val="21"/>
                <w:szCs w:val="21"/>
              </w:rPr>
            </w:pPr>
            <w:r>
              <w:rPr>
                <w:rFonts w:hint="eastAsia" w:ascii="宋体" w:hAnsi="宋体" w:cs="宋体"/>
                <w:bCs/>
                <w:color w:val="auto"/>
                <w:kern w:val="0"/>
                <w:sz w:val="21"/>
                <w:szCs w:val="21"/>
              </w:rPr>
              <w:t>（8分）</w:t>
            </w:r>
          </w:p>
        </w:tc>
        <w:tc>
          <w:tcPr>
            <w:tcW w:w="6146" w:type="dxa"/>
            <w:vAlign w:val="center"/>
          </w:tcPr>
          <w:p>
            <w:pPr>
              <w:tabs>
                <w:tab w:val="left" w:pos="11160"/>
              </w:tabs>
              <w:spacing w:line="312" w:lineRule="auto"/>
              <w:rPr>
                <w:color w:val="auto"/>
                <w:sz w:val="21"/>
                <w:szCs w:val="21"/>
              </w:rPr>
            </w:pPr>
            <w:r>
              <w:rPr>
                <w:rFonts w:hint="eastAsia" w:ascii="宋体" w:hAnsi="宋体" w:cs="宋体"/>
                <w:bCs/>
                <w:color w:val="auto"/>
                <w:sz w:val="21"/>
                <w:szCs w:val="21"/>
              </w:rPr>
              <w:t>供应商近三年（2019年、2020年、2021年）</w:t>
            </w:r>
            <w:r>
              <w:rPr>
                <w:rFonts w:hint="eastAsia" w:ascii="宋体" w:hAnsi="宋体" w:cs="宋体"/>
                <w:bCs/>
                <w:color w:val="auto"/>
                <w:kern w:val="0"/>
                <w:sz w:val="21"/>
                <w:szCs w:val="21"/>
              </w:rPr>
              <w:t>完成过合同金额在100万元及以上的</w:t>
            </w:r>
            <w:r>
              <w:rPr>
                <w:rFonts w:hint="eastAsia" w:ascii="宋体" w:hAnsi="宋体" w:cs="宋体"/>
                <w:color w:val="auto"/>
                <w:sz w:val="21"/>
                <w:szCs w:val="21"/>
              </w:rPr>
              <w:t>类似项目施工业绩</w:t>
            </w:r>
            <w:r>
              <w:rPr>
                <w:rFonts w:hint="eastAsia" w:ascii="宋体" w:hAnsi="宋体" w:cs="宋体"/>
                <w:bCs/>
                <w:color w:val="auto"/>
                <w:kern w:val="0"/>
                <w:sz w:val="21"/>
                <w:szCs w:val="21"/>
              </w:rPr>
              <w:t>，每有一项得2分，满分8分。提供中标通知书或合同协议书或竣工验收报告</w:t>
            </w:r>
            <w:r>
              <w:rPr>
                <w:rFonts w:hint="eastAsia" w:ascii="宋体" w:hAnsi="宋体" w:cs="宋体"/>
                <w:b/>
                <w:color w:val="auto"/>
                <w:kern w:val="0"/>
                <w:sz w:val="21"/>
                <w:szCs w:val="21"/>
              </w:rPr>
              <w:t>原件</w:t>
            </w:r>
            <w:r>
              <w:rPr>
                <w:rFonts w:hint="eastAsia" w:ascii="宋体" w:hAnsi="宋体" w:cs="宋体"/>
                <w:bCs/>
                <w:color w:val="auto"/>
                <w:sz w:val="21"/>
                <w:szCs w:val="21"/>
              </w:rPr>
              <w:t>，响应文件内附</w:t>
            </w:r>
            <w:r>
              <w:rPr>
                <w:rFonts w:hint="eastAsia" w:ascii="宋体" w:hAnsi="宋体" w:cs="宋体"/>
                <w:bCs/>
                <w:color w:val="auto"/>
                <w:kern w:val="0"/>
                <w:sz w:val="21"/>
                <w:szCs w:val="21"/>
              </w:rPr>
              <w:t>复印件加盖公章，</w:t>
            </w:r>
            <w:r>
              <w:rPr>
                <w:rFonts w:hint="eastAsia" w:ascii="宋体" w:hAnsi="宋体" w:cs="宋体"/>
                <w:bCs/>
                <w:color w:val="auto"/>
                <w:sz w:val="21"/>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项目经理资格</w:t>
            </w:r>
          </w:p>
          <w:p>
            <w:pPr>
              <w:spacing w:line="312" w:lineRule="auto"/>
              <w:jc w:val="center"/>
              <w:rPr>
                <w:rFonts w:ascii="宋体" w:hAnsi="宋体" w:cs="宋体"/>
                <w:bCs/>
                <w:color w:val="auto"/>
                <w:sz w:val="21"/>
                <w:szCs w:val="21"/>
              </w:rPr>
            </w:pPr>
            <w:r>
              <w:rPr>
                <w:rFonts w:hint="eastAsia" w:ascii="宋体" w:hAnsi="宋体" w:cs="宋体"/>
                <w:bCs/>
                <w:color w:val="auto"/>
                <w:sz w:val="21"/>
                <w:szCs w:val="21"/>
              </w:rPr>
              <w:t>与业绩</w:t>
            </w:r>
          </w:p>
          <w:p>
            <w:pPr>
              <w:spacing w:line="312" w:lineRule="auto"/>
              <w:jc w:val="center"/>
              <w:rPr>
                <w:rFonts w:ascii="宋体" w:hAnsi="宋体" w:cs="宋体"/>
                <w:bCs/>
                <w:color w:val="auto"/>
                <w:sz w:val="21"/>
                <w:szCs w:val="21"/>
              </w:rPr>
            </w:pPr>
            <w:r>
              <w:rPr>
                <w:rFonts w:hint="eastAsia" w:ascii="宋体" w:hAnsi="宋体" w:cs="宋体"/>
                <w:bCs/>
                <w:color w:val="auto"/>
                <w:sz w:val="21"/>
                <w:szCs w:val="21"/>
              </w:rPr>
              <w:t>（4分）</w:t>
            </w:r>
          </w:p>
        </w:tc>
        <w:tc>
          <w:tcPr>
            <w:tcW w:w="6146" w:type="dxa"/>
            <w:vAlign w:val="center"/>
          </w:tcPr>
          <w:p>
            <w:pPr>
              <w:spacing w:line="312" w:lineRule="auto"/>
              <w:rPr>
                <w:color w:val="auto"/>
                <w:sz w:val="21"/>
                <w:szCs w:val="21"/>
              </w:rPr>
            </w:pPr>
            <w:r>
              <w:rPr>
                <w:rFonts w:hint="eastAsia"/>
                <w:color w:val="auto"/>
                <w:sz w:val="21"/>
                <w:szCs w:val="21"/>
              </w:rPr>
              <w:t>项目经理具备机电工程相关专业高级及以上技术职称得1分，其他不得分。提供职称证书</w:t>
            </w:r>
            <w:r>
              <w:rPr>
                <w:rFonts w:hint="eastAsia"/>
                <w:b/>
                <w:bCs/>
                <w:color w:val="auto"/>
                <w:sz w:val="21"/>
                <w:szCs w:val="21"/>
              </w:rPr>
              <w:t>原件</w:t>
            </w:r>
            <w:r>
              <w:rPr>
                <w:rFonts w:hint="eastAsia"/>
                <w:color w:val="auto"/>
                <w:sz w:val="21"/>
                <w:szCs w:val="21"/>
              </w:rPr>
              <w:t>，响应文件内附复印件并加盖公章。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Merge w:val="continue"/>
            <w:vAlign w:val="center"/>
          </w:tcPr>
          <w:p>
            <w:pPr>
              <w:spacing w:line="312" w:lineRule="auto"/>
              <w:jc w:val="center"/>
              <w:rPr>
                <w:rFonts w:ascii="宋体" w:hAnsi="宋体" w:cs="宋体"/>
                <w:bCs/>
                <w:color w:val="auto"/>
                <w:sz w:val="21"/>
                <w:szCs w:val="21"/>
              </w:rPr>
            </w:pPr>
          </w:p>
        </w:tc>
        <w:tc>
          <w:tcPr>
            <w:tcW w:w="6146"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项目经理近三年（2019年、2020年、2021年）</w:t>
            </w:r>
            <w:r>
              <w:rPr>
                <w:rFonts w:hint="eastAsia" w:ascii="宋体" w:hAnsi="宋体" w:cs="宋体"/>
                <w:bCs/>
                <w:color w:val="auto"/>
                <w:kern w:val="0"/>
                <w:sz w:val="21"/>
                <w:szCs w:val="21"/>
              </w:rPr>
              <w:t>完成过合同金额在100万元及以上的</w:t>
            </w:r>
            <w:r>
              <w:rPr>
                <w:rFonts w:hint="eastAsia" w:ascii="宋体" w:hAnsi="宋体" w:cs="宋体"/>
                <w:color w:val="auto"/>
                <w:sz w:val="21"/>
                <w:szCs w:val="21"/>
              </w:rPr>
              <w:t>类似项目施工业绩</w:t>
            </w:r>
            <w:r>
              <w:rPr>
                <w:rFonts w:hint="eastAsia" w:ascii="宋体" w:hAnsi="宋体" w:cs="宋体"/>
                <w:bCs/>
                <w:color w:val="auto"/>
                <w:kern w:val="0"/>
                <w:sz w:val="21"/>
                <w:szCs w:val="21"/>
              </w:rPr>
              <w:t>，每有一项得1分，最多得3分。</w:t>
            </w:r>
            <w:r>
              <w:rPr>
                <w:rFonts w:hint="eastAsia" w:ascii="宋体" w:hAnsi="宋体" w:cs="宋体"/>
                <w:bCs/>
                <w:color w:val="auto"/>
                <w:sz w:val="21"/>
                <w:szCs w:val="21"/>
              </w:rPr>
              <w:t>提供中标通知书或合同协议书或竣工验收报告</w:t>
            </w:r>
            <w:r>
              <w:rPr>
                <w:rFonts w:hint="eastAsia" w:ascii="宋体" w:hAnsi="宋体" w:cs="宋体"/>
                <w:b/>
                <w:color w:val="auto"/>
                <w:sz w:val="21"/>
                <w:szCs w:val="21"/>
              </w:rPr>
              <w:t>原件</w:t>
            </w:r>
            <w:r>
              <w:rPr>
                <w:rFonts w:hint="eastAsia" w:ascii="宋体" w:hAnsi="宋体" w:cs="宋体"/>
                <w:bCs/>
                <w:color w:val="auto"/>
                <w:sz w:val="21"/>
                <w:szCs w:val="21"/>
              </w:rPr>
              <w:t>，响应文件内附复印件加盖公章；若中标通知书或合同协议书或竣工验收报告</w:t>
            </w:r>
            <w:r>
              <w:rPr>
                <w:rFonts w:hint="eastAsia" w:ascii="宋体" w:hAnsi="宋体" w:cs="宋体"/>
                <w:color w:val="auto"/>
                <w:kern w:val="0"/>
                <w:sz w:val="21"/>
                <w:szCs w:val="21"/>
              </w:rPr>
              <w:t>未体现姓名须提供相应项目建设单位出具的证明材料</w:t>
            </w:r>
            <w:r>
              <w:rPr>
                <w:rFonts w:hint="eastAsia" w:ascii="宋体" w:hAnsi="宋体" w:cs="宋体"/>
                <w:b/>
                <w:bCs/>
                <w:color w:val="auto"/>
                <w:kern w:val="0"/>
                <w:sz w:val="21"/>
                <w:szCs w:val="21"/>
              </w:rPr>
              <w:t>原件</w:t>
            </w:r>
            <w:r>
              <w:rPr>
                <w:rFonts w:hint="eastAsia" w:ascii="宋体" w:hAnsi="宋体" w:cs="宋体"/>
                <w:color w:val="auto"/>
                <w:kern w:val="0"/>
                <w:sz w:val="21"/>
                <w:szCs w:val="21"/>
              </w:rPr>
              <w:t>，响应文件内附</w:t>
            </w:r>
            <w:r>
              <w:rPr>
                <w:rFonts w:hint="eastAsia" w:ascii="宋体" w:hAnsi="宋体" w:cs="宋体"/>
                <w:bCs/>
                <w:color w:val="auto"/>
                <w:sz w:val="21"/>
                <w:szCs w:val="21"/>
              </w:rPr>
              <w:t>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kern w:val="0"/>
                <w:sz w:val="21"/>
                <w:szCs w:val="21"/>
              </w:rPr>
              <w:t>项目管理机构人员配备（2分）</w:t>
            </w:r>
          </w:p>
        </w:tc>
        <w:tc>
          <w:tcPr>
            <w:tcW w:w="6146" w:type="dxa"/>
            <w:vAlign w:val="center"/>
          </w:tcPr>
          <w:p>
            <w:pPr>
              <w:tabs>
                <w:tab w:val="left" w:pos="11160"/>
              </w:tabs>
              <w:spacing w:line="300" w:lineRule="auto"/>
              <w:rPr>
                <w:rFonts w:ascii="宋体" w:hAnsi="宋体" w:cs="宋体"/>
                <w:bCs/>
                <w:color w:val="auto"/>
                <w:sz w:val="21"/>
                <w:szCs w:val="21"/>
              </w:rPr>
            </w:pPr>
            <w:r>
              <w:rPr>
                <w:rFonts w:hint="eastAsia" w:ascii="宋体" w:hAnsi="宋体" w:cs="宋体"/>
                <w:color w:val="auto"/>
                <w:sz w:val="21"/>
                <w:szCs w:val="21"/>
              </w:rPr>
              <w:t>供应商拟派出的项目管理机构人员中技术负责人、</w:t>
            </w:r>
            <w:r>
              <w:rPr>
                <w:rFonts w:hint="eastAsia" w:ascii="宋体" w:hAnsi="宋体" w:cs="宋体"/>
                <w:bCs/>
                <w:color w:val="auto"/>
                <w:sz w:val="21"/>
                <w:szCs w:val="21"/>
                <w:lang w:val="zh-CN"/>
              </w:rPr>
              <w:t>施工员、安全员、质检员、材料员齐全，得</w:t>
            </w:r>
            <w:r>
              <w:rPr>
                <w:rFonts w:hint="eastAsia" w:ascii="宋体" w:hAnsi="宋体" w:cs="宋体"/>
                <w:bCs/>
                <w:color w:val="auto"/>
                <w:sz w:val="21"/>
                <w:szCs w:val="21"/>
              </w:rPr>
              <w:t>2</w:t>
            </w:r>
            <w:r>
              <w:rPr>
                <w:rFonts w:hint="eastAsia" w:ascii="宋体" w:hAnsi="宋体" w:cs="宋体"/>
                <w:bCs/>
                <w:color w:val="auto"/>
                <w:sz w:val="21"/>
                <w:szCs w:val="21"/>
                <w:lang w:val="zh-CN"/>
              </w:rPr>
              <w:t>分，</w:t>
            </w:r>
            <w:r>
              <w:rPr>
                <w:rFonts w:hint="eastAsia" w:ascii="宋体" w:hAnsi="宋体" w:cs="宋体"/>
                <w:bCs/>
                <w:color w:val="auto"/>
                <w:sz w:val="21"/>
                <w:szCs w:val="21"/>
              </w:rPr>
              <w:t>不齐全不得分。</w:t>
            </w:r>
            <w:r>
              <w:rPr>
                <w:rFonts w:hint="eastAsia" w:ascii="宋体" w:hAnsi="宋体" w:cs="宋体"/>
                <w:bCs/>
                <w:color w:val="auto"/>
                <w:sz w:val="21"/>
                <w:szCs w:val="21"/>
                <w:lang w:val="zh-CN"/>
              </w:rPr>
              <w:t>提供</w:t>
            </w:r>
            <w:r>
              <w:rPr>
                <w:rFonts w:hint="eastAsia" w:ascii="宋体" w:hAnsi="宋体" w:cs="宋体"/>
                <w:bCs/>
                <w:color w:val="auto"/>
                <w:sz w:val="21"/>
                <w:szCs w:val="21"/>
              </w:rPr>
              <w:t>技术负责人建筑工程相关专业中级及以上技术职称证、</w:t>
            </w:r>
            <w:r>
              <w:rPr>
                <w:rFonts w:hint="eastAsia" w:ascii="宋体" w:hAnsi="宋体" w:cs="宋体"/>
                <w:bCs/>
                <w:color w:val="auto"/>
                <w:sz w:val="21"/>
                <w:szCs w:val="21"/>
                <w:lang w:val="zh-CN"/>
              </w:rPr>
              <w:t>安全员安全生产考核合格证、其他人员</w:t>
            </w:r>
            <w:r>
              <w:rPr>
                <w:rFonts w:hint="eastAsia" w:ascii="宋体" w:hAnsi="宋体" w:cs="宋体"/>
                <w:bCs/>
                <w:color w:val="auto"/>
                <w:sz w:val="21"/>
                <w:szCs w:val="21"/>
              </w:rPr>
              <w:t>提供</w:t>
            </w:r>
            <w:r>
              <w:rPr>
                <w:rFonts w:hint="eastAsia" w:ascii="宋体" w:hAnsi="宋体" w:cs="宋体"/>
                <w:bCs/>
                <w:color w:val="auto"/>
                <w:sz w:val="21"/>
                <w:szCs w:val="21"/>
                <w:lang w:val="zh-CN"/>
              </w:rPr>
              <w:t>岗位证书</w:t>
            </w:r>
            <w:r>
              <w:rPr>
                <w:rFonts w:hint="eastAsia" w:ascii="宋体" w:hAnsi="宋体" w:cs="宋体"/>
                <w:b/>
                <w:color w:val="auto"/>
                <w:sz w:val="21"/>
                <w:szCs w:val="21"/>
                <w:lang w:val="zh-CN"/>
              </w:rPr>
              <w:t>原件</w:t>
            </w:r>
            <w:r>
              <w:rPr>
                <w:rFonts w:hint="eastAsia" w:ascii="宋体" w:hAnsi="宋体" w:cs="宋体"/>
                <w:bCs/>
                <w:color w:val="auto"/>
                <w:sz w:val="21"/>
                <w:szCs w:val="21"/>
                <w:lang w:val="zh-CN"/>
              </w:rPr>
              <w:t>，</w:t>
            </w:r>
            <w:r>
              <w:rPr>
                <w:rFonts w:hint="eastAsia" w:ascii="宋体" w:hAnsi="宋体" w:cs="宋体"/>
                <w:bCs/>
                <w:color w:val="auto"/>
                <w:sz w:val="21"/>
                <w:szCs w:val="21"/>
              </w:rPr>
              <w:t>响应文件内附</w:t>
            </w:r>
            <w:r>
              <w:rPr>
                <w:rFonts w:hint="eastAsia" w:ascii="宋体" w:hAnsi="宋体" w:cs="宋体"/>
                <w:bCs/>
                <w:color w:val="auto"/>
                <w:sz w:val="21"/>
                <w:szCs w:val="21"/>
                <w:lang w:val="zh-CN"/>
              </w:rPr>
              <w:t>复印件加盖公章，</w:t>
            </w:r>
            <w:r>
              <w:rPr>
                <w:rFonts w:hint="eastAsia" w:ascii="宋体" w:hAnsi="宋体" w:cs="宋体"/>
                <w:bCs/>
                <w:color w:val="auto"/>
                <w:sz w:val="21"/>
                <w:szCs w:val="21"/>
              </w:rPr>
              <w:t>未按要求提供的不得分</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12" w:lineRule="auto"/>
              <w:jc w:val="center"/>
              <w:rPr>
                <w:rFonts w:ascii="宋体" w:hAnsi="宋体" w:cs="宋体"/>
                <w:bCs/>
                <w:color w:val="auto"/>
                <w:kern w:val="0"/>
                <w:sz w:val="21"/>
                <w:szCs w:val="21"/>
              </w:rPr>
            </w:pPr>
            <w:r>
              <w:rPr>
                <w:rFonts w:hint="eastAsia" w:ascii="宋体" w:hAnsi="宋体" w:cs="宋体"/>
                <w:bCs/>
                <w:color w:val="auto"/>
                <w:kern w:val="0"/>
                <w:sz w:val="21"/>
                <w:szCs w:val="21"/>
              </w:rPr>
              <w:t>工期（2分）</w:t>
            </w:r>
          </w:p>
        </w:tc>
        <w:tc>
          <w:tcPr>
            <w:tcW w:w="6146" w:type="dxa"/>
            <w:vAlign w:val="center"/>
          </w:tcPr>
          <w:p>
            <w:pPr>
              <w:tabs>
                <w:tab w:val="left" w:pos="11160"/>
              </w:tabs>
              <w:spacing w:line="312" w:lineRule="auto"/>
              <w:rPr>
                <w:rFonts w:ascii="宋体" w:hAnsi="宋体" w:cs="宋体"/>
                <w:bCs/>
                <w:color w:val="auto"/>
                <w:sz w:val="21"/>
                <w:szCs w:val="21"/>
              </w:rPr>
            </w:pPr>
            <w:r>
              <w:rPr>
                <w:rFonts w:hint="eastAsia" w:ascii="宋体" w:hAnsi="宋体" w:cs="宋体"/>
                <w:bCs/>
                <w:color w:val="auto"/>
                <w:sz w:val="21"/>
                <w:szCs w:val="21"/>
              </w:rPr>
              <w:t>总工期每减少1天得0.5分，满分2分。（响应文件内附加盖公章的承诺函，否则不得分）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1" w:type="dxa"/>
            <w:vMerge w:val="continue"/>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kern w:val="0"/>
                <w:sz w:val="21"/>
                <w:szCs w:val="21"/>
              </w:rPr>
              <w:t>优惠条件（2分）</w:t>
            </w:r>
          </w:p>
        </w:tc>
        <w:tc>
          <w:tcPr>
            <w:tcW w:w="6146" w:type="dxa"/>
            <w:vAlign w:val="center"/>
          </w:tcPr>
          <w:p>
            <w:pPr>
              <w:tabs>
                <w:tab w:val="left" w:pos="11160"/>
              </w:tabs>
              <w:spacing w:line="312" w:lineRule="auto"/>
              <w:rPr>
                <w:rFonts w:ascii="宋体" w:hAnsi="宋体" w:cs="宋体"/>
                <w:bCs/>
                <w:color w:val="auto"/>
                <w:sz w:val="21"/>
                <w:szCs w:val="21"/>
                <w:lang w:val="zh-CN"/>
              </w:rPr>
            </w:pPr>
            <w:r>
              <w:rPr>
                <w:rFonts w:hint="eastAsia" w:ascii="宋体" w:hAnsi="宋体" w:cs="宋体"/>
                <w:bCs/>
                <w:color w:val="auto"/>
                <w:kern w:val="0"/>
                <w:sz w:val="21"/>
                <w:szCs w:val="21"/>
              </w:rPr>
              <w:t>对各供应商提供的优惠条件进行综合评比，有实质性优惠条件且充分可行得2分，</w:t>
            </w:r>
            <w:r>
              <w:rPr>
                <w:rFonts w:hint="eastAsia" w:ascii="宋体" w:hAnsi="宋体" w:cs="宋体"/>
                <w:bCs/>
                <w:color w:val="auto"/>
                <w:sz w:val="21"/>
                <w:szCs w:val="21"/>
              </w:rPr>
              <w:t>内容合理可行得1分，内容基本可行得0.5分</w:t>
            </w:r>
            <w:r>
              <w:rPr>
                <w:rFonts w:hint="eastAsia" w:ascii="宋体" w:hAnsi="宋体" w:cs="宋体"/>
                <w:bCs/>
                <w:color w:val="auto"/>
                <w:kern w:val="0"/>
                <w:sz w:val="21"/>
                <w:szCs w:val="21"/>
              </w:rPr>
              <w:t>，</w:t>
            </w:r>
            <w:r>
              <w:rPr>
                <w:rFonts w:hint="eastAsia" w:ascii="宋体" w:hAnsi="宋体" w:cs="宋体"/>
                <w:bCs/>
                <w:color w:val="auto"/>
                <w:sz w:val="21"/>
                <w:szCs w:val="21"/>
              </w:rPr>
              <w:t>无不得分</w:t>
            </w:r>
            <w:r>
              <w:rPr>
                <w:rFonts w:hint="eastAsia" w:ascii="宋体" w:hAnsi="宋体" w:cs="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851" w:type="dxa"/>
            <w:vMerge w:val="continue"/>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12" w:lineRule="auto"/>
              <w:jc w:val="center"/>
              <w:rPr>
                <w:rFonts w:ascii="宋体" w:hAnsi="宋体" w:cs="宋体"/>
                <w:bCs/>
                <w:color w:val="auto"/>
                <w:kern w:val="0"/>
                <w:sz w:val="21"/>
                <w:szCs w:val="21"/>
              </w:rPr>
            </w:pPr>
            <w:r>
              <w:rPr>
                <w:rFonts w:hint="eastAsia" w:ascii="宋体" w:hAnsi="宋体" w:cs="宋体"/>
                <w:bCs/>
                <w:color w:val="auto"/>
                <w:kern w:val="0"/>
                <w:sz w:val="21"/>
                <w:szCs w:val="21"/>
              </w:rPr>
              <w:t>服务承诺（2分）</w:t>
            </w:r>
          </w:p>
        </w:tc>
        <w:tc>
          <w:tcPr>
            <w:tcW w:w="6146" w:type="dxa"/>
            <w:vAlign w:val="center"/>
          </w:tcPr>
          <w:p>
            <w:pPr>
              <w:tabs>
                <w:tab w:val="left" w:pos="11160"/>
              </w:tabs>
              <w:spacing w:line="312" w:lineRule="auto"/>
              <w:rPr>
                <w:rFonts w:ascii="宋体" w:hAnsi="宋体" w:cs="宋体"/>
                <w:bCs/>
                <w:color w:val="auto"/>
                <w:kern w:val="0"/>
                <w:sz w:val="21"/>
                <w:szCs w:val="21"/>
              </w:rPr>
            </w:pPr>
            <w:r>
              <w:rPr>
                <w:rFonts w:hint="eastAsia" w:ascii="宋体" w:hAnsi="宋体" w:cs="宋体"/>
                <w:bCs/>
                <w:color w:val="auto"/>
                <w:kern w:val="0"/>
                <w:sz w:val="21"/>
                <w:szCs w:val="21"/>
              </w:rPr>
              <w:t>对各供应商提供的服务承诺进行综合评比（包含维保效果、响应速度、响应时间等，不含延长质保期），</w:t>
            </w:r>
            <w:r>
              <w:rPr>
                <w:rFonts w:hint="eastAsia" w:ascii="宋体" w:hAnsi="宋体" w:cs="宋体"/>
                <w:bCs/>
                <w:color w:val="auto"/>
                <w:sz w:val="21"/>
                <w:szCs w:val="21"/>
              </w:rPr>
              <w:t>内容完整、切实可行得2分，内容完善可行得1分，无不得分。（响应文件内附加盖公章的承诺函，否则不得分）</w:t>
            </w:r>
          </w:p>
        </w:tc>
      </w:tr>
    </w:tbl>
    <w:p>
      <w:pPr>
        <w:rPr>
          <w:rFonts w:ascii="宋体" w:hAnsi="宋体" w:cs="宋体"/>
          <w:b/>
          <w:color w:val="auto"/>
        </w:rPr>
      </w:pP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Pr>
        <w:rPr>
          <w:rFonts w:ascii="宋体" w:hAnsi="宋体" w:cs="宋体"/>
          <w:b/>
          <w:bCs/>
          <w:color w:val="auto"/>
          <w:sz w:val="21"/>
          <w:szCs w:val="21"/>
        </w:rPr>
      </w:pPr>
      <w:bookmarkStart w:id="122" w:name="_Toc16053"/>
      <w:bookmarkStart w:id="123" w:name="_Toc6214_WPSOffice_Level2"/>
      <w:bookmarkStart w:id="124" w:name="_Toc1894_WPSOffice_Level2"/>
      <w:bookmarkStart w:id="125" w:name="_Toc16865_WPSOffice_Level2"/>
      <w:r>
        <w:rPr>
          <w:rFonts w:hint="eastAsia" w:ascii="宋体" w:hAnsi="宋体" w:cs="宋体"/>
          <w:b/>
          <w:bCs/>
          <w:color w:val="auto"/>
          <w:sz w:val="21"/>
          <w:szCs w:val="21"/>
        </w:rPr>
        <w:br w:type="page"/>
      </w:r>
    </w:p>
    <w:p>
      <w:pPr>
        <w:adjustRightInd w:val="0"/>
        <w:snapToGrid w:val="0"/>
        <w:spacing w:line="312" w:lineRule="auto"/>
        <w:jc w:val="left"/>
        <w:outlineLvl w:val="1"/>
        <w:rPr>
          <w:rFonts w:ascii="宋体" w:hAnsi="宋体" w:cs="宋体"/>
          <w:b/>
          <w:bCs/>
          <w:color w:val="auto"/>
          <w:sz w:val="21"/>
          <w:szCs w:val="21"/>
        </w:rPr>
      </w:pPr>
      <w:bookmarkStart w:id="126" w:name="_Toc1094"/>
      <w:bookmarkStart w:id="127" w:name="_Toc6849"/>
      <w:r>
        <w:rPr>
          <w:rFonts w:hint="eastAsia" w:ascii="宋体" w:hAnsi="宋体" w:cs="宋体"/>
          <w:b/>
          <w:bCs/>
          <w:color w:val="auto"/>
          <w:sz w:val="21"/>
          <w:szCs w:val="21"/>
        </w:rPr>
        <w:t>1. 磋商方法</w:t>
      </w:r>
      <w:bookmarkEnd w:id="122"/>
      <w:bookmarkEnd w:id="123"/>
      <w:bookmarkEnd w:id="124"/>
      <w:bookmarkEnd w:id="125"/>
      <w:bookmarkEnd w:id="126"/>
      <w:bookmarkEnd w:id="127"/>
    </w:p>
    <w:p>
      <w:pPr>
        <w:adjustRightInd w:val="0"/>
        <w:snapToGrid w:val="0"/>
        <w:spacing w:line="312" w:lineRule="auto"/>
        <w:jc w:val="left"/>
        <w:rPr>
          <w:rFonts w:ascii="宋体" w:hAnsi="宋体" w:cs="宋体"/>
          <w:color w:val="auto"/>
          <w:sz w:val="21"/>
          <w:szCs w:val="21"/>
        </w:rPr>
      </w:pPr>
      <w:r>
        <w:rPr>
          <w:rFonts w:hint="eastAsia" w:ascii="宋体" w:hAnsi="宋体" w:cs="宋体"/>
          <w:color w:val="auto"/>
          <w:sz w:val="21"/>
          <w:szCs w:val="21"/>
        </w:rPr>
        <w:t xml:space="preserve">   本次磋商采用综合评分法。磋商小组对满足竞争性磋商文件实质性要求的响应文件，按照本章评审方法前附表规定的评分标准进行打分，按照本章第2.2款规定的评分标准进行综合打分由高至低顺序排序推荐三名成交候选供应商，并由采购人确定成交供应商。综合评分相等时，以磋商报价低的优先；磋商报价也相等的，以施工组织设计优者优先；施工组织设计评分也相等时，由采购人代表确定。</w:t>
      </w:r>
    </w:p>
    <w:p>
      <w:pPr>
        <w:adjustRightInd w:val="0"/>
        <w:snapToGrid w:val="0"/>
        <w:spacing w:line="312" w:lineRule="auto"/>
        <w:jc w:val="left"/>
        <w:rPr>
          <w:rFonts w:ascii="宋体" w:hAnsi="宋体" w:cs="宋体"/>
          <w:color w:val="auto"/>
          <w:sz w:val="21"/>
          <w:szCs w:val="21"/>
        </w:rPr>
      </w:pPr>
      <w:r>
        <w:rPr>
          <w:rFonts w:hint="eastAsia" w:ascii="宋体" w:hAnsi="宋体" w:cs="宋体"/>
          <w:color w:val="auto"/>
          <w:sz w:val="21"/>
          <w:szCs w:val="21"/>
        </w:rPr>
        <w:t xml:space="preserve">   对各项评分进行汇总，将所有评委的打分进行汇总后，将各供应商的得分的算术平均值为供应商的最后得分，拟定“综合评分排序表”，按评分从高到低进行排序，并由采购人确定成交供应商。</w:t>
      </w:r>
    </w:p>
    <w:p>
      <w:pPr>
        <w:adjustRightInd w:val="0"/>
        <w:snapToGrid w:val="0"/>
        <w:spacing w:line="312" w:lineRule="auto"/>
        <w:jc w:val="left"/>
        <w:outlineLvl w:val="1"/>
        <w:rPr>
          <w:rFonts w:ascii="宋体" w:hAnsi="宋体" w:cs="宋体"/>
          <w:b/>
          <w:bCs/>
          <w:color w:val="auto"/>
          <w:sz w:val="21"/>
          <w:szCs w:val="21"/>
        </w:rPr>
      </w:pPr>
      <w:bookmarkStart w:id="128" w:name="_Toc8203"/>
      <w:bookmarkStart w:id="129" w:name="_Toc18674"/>
      <w:bookmarkStart w:id="130" w:name="_Toc6885_WPSOffice_Level2"/>
      <w:bookmarkStart w:id="131" w:name="_Toc946"/>
      <w:bookmarkStart w:id="132" w:name="_Toc6386_WPSOffice_Level2"/>
      <w:bookmarkStart w:id="133" w:name="_Toc580_WPSOffice_Level2"/>
      <w:r>
        <w:rPr>
          <w:rFonts w:hint="eastAsia" w:ascii="宋体" w:hAnsi="宋体" w:cs="宋体"/>
          <w:b/>
          <w:bCs/>
          <w:color w:val="auto"/>
          <w:sz w:val="21"/>
          <w:szCs w:val="21"/>
        </w:rPr>
        <w:t>2.评审标准</w:t>
      </w:r>
      <w:bookmarkEnd w:id="128"/>
      <w:bookmarkEnd w:id="129"/>
      <w:bookmarkEnd w:id="130"/>
      <w:bookmarkEnd w:id="131"/>
      <w:bookmarkEnd w:id="132"/>
      <w:bookmarkEnd w:id="133"/>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2.1初步评审标准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2.1.1形式评审标准：见评审方法前附表。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2.1.2资格评审标准：见评审方法前附表。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2.1.3响应性评审标准：见评审方法前附表。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2.2评分标准</w:t>
      </w:r>
    </w:p>
    <w:p>
      <w:pPr>
        <w:numPr>
          <w:ilvl w:val="0"/>
          <w:numId w:val="3"/>
        </w:num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施工组织设计评分标准：见评审方法前附表；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（2）磋商报价评分标准：见评审方法前附表；</w:t>
      </w:r>
    </w:p>
    <w:p>
      <w:pPr>
        <w:adjustRightInd w:val="0"/>
        <w:snapToGrid w:val="0"/>
        <w:spacing w:line="312" w:lineRule="auto"/>
        <w:ind w:firstLine="420" w:firstLineChars="200"/>
        <w:jc w:val="left"/>
        <w:rPr>
          <w:rFonts w:ascii="宋体" w:hAnsi="宋体" w:cs="宋体"/>
          <w:color w:val="auto"/>
        </w:rPr>
      </w:pPr>
      <w:r>
        <w:rPr>
          <w:rFonts w:hint="eastAsia" w:ascii="宋体" w:hAnsi="宋体" w:cs="宋体"/>
          <w:color w:val="auto"/>
          <w:sz w:val="21"/>
          <w:szCs w:val="21"/>
        </w:rPr>
        <w:t>（3）商务部分评分标准：见评审方法前附表。</w:t>
      </w:r>
    </w:p>
    <w:p>
      <w:pPr>
        <w:adjustRightInd w:val="0"/>
        <w:snapToGrid w:val="0"/>
        <w:spacing w:line="312" w:lineRule="auto"/>
        <w:jc w:val="left"/>
        <w:outlineLvl w:val="1"/>
        <w:rPr>
          <w:rFonts w:ascii="宋体" w:hAnsi="宋体" w:cs="宋体"/>
          <w:color w:val="auto"/>
          <w:sz w:val="21"/>
          <w:szCs w:val="21"/>
        </w:rPr>
      </w:pPr>
      <w:bookmarkStart w:id="134" w:name="_Toc17217"/>
      <w:bookmarkStart w:id="135" w:name="_Toc32360"/>
      <w:bookmarkStart w:id="136" w:name="_Toc27539_WPSOffice_Level2"/>
      <w:bookmarkStart w:id="137" w:name="_Toc9893_WPSOffice_Level2"/>
      <w:bookmarkStart w:id="138" w:name="_Toc1288_WPSOffice_Level2"/>
      <w:bookmarkStart w:id="139" w:name="_Toc21784"/>
      <w:r>
        <w:rPr>
          <w:rFonts w:hint="eastAsia" w:ascii="宋体" w:hAnsi="宋体" w:cs="宋体"/>
          <w:b/>
          <w:bCs/>
          <w:color w:val="auto"/>
          <w:sz w:val="21"/>
          <w:szCs w:val="21"/>
        </w:rPr>
        <w:t>3.磋商程序</w:t>
      </w:r>
      <w:bookmarkEnd w:id="134"/>
      <w:bookmarkEnd w:id="135"/>
      <w:bookmarkEnd w:id="136"/>
      <w:bookmarkEnd w:id="137"/>
      <w:bookmarkEnd w:id="138"/>
      <w:bookmarkEnd w:id="139"/>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3.1初步评审</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3.1.1磋商小组可以要求供应商提交第二章“供应商须知”规定的有关证明和证件的原件，以便核验。磋商小组依据本章第2.1.1、2.1.2、2.1.3 款规定的标准对响应文件进行初步评审。有一项不符合评审标准的，磋商小组应当否决其响应文件。</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3.1.2供应商有以下情形之一的，磋商小组应当否决其响应文件：</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（1）响应文件没有对竞争性磋商文件的实质性要求和条件作出响应，或者对竞争性磋商文件的偏差超出竞争性磋商文件规定的偏差范围或最高项数；</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（2）有串通投标、弄虚作假、行贿等违法行为。</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3.1.3磋商报价有算术错误及其他错误的，磋商小组按以下原则要求供应商对磋商报价进行修正，并要求供应商书面澄清确认。供应商拒不澄清确认的，磋商小组应当否决其响应文件：</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1.响应文件报价出现前后不一致的，按照下列规定修正：</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（一）大写金额和小写金额不一致的，以大写金额为准；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（二）单价金额小数点或者百分比有明显错位的，以报价一览表的总价为准，并修改单价；</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（三）总价金额与按单价汇总金额不一致的，以单价金额计算结果为准。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同时出现两种以上不一致的，按照前款规定的顺序修正。修正后的报价经供应商确认后产生约束力，供应商不确认的，其响应文件无效。</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磋商小组认为供应商的报价明显低于其他通过符合性审查供应商的报价，有可能影响工程质量或者不能诚信履约的，应当要求其在磋商现场合理的时间内提供书面说明，必要时提交相关证明材料；供应商不能证明其报价合理性的，磋商小组应当将其响应文件作为无效处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3.2详细评审</w:t>
      </w:r>
    </w:p>
    <w:p>
      <w:pPr>
        <w:adjustRightInd w:val="0"/>
        <w:snapToGrid w:val="0"/>
        <w:spacing w:line="312" w:lineRule="auto"/>
        <w:ind w:left="560" w:leftChars="200"/>
        <w:jc w:val="left"/>
        <w:rPr>
          <w:rFonts w:ascii="宋体" w:hAnsi="宋体" w:cs="宋体"/>
          <w:color w:val="auto"/>
          <w:sz w:val="21"/>
          <w:szCs w:val="21"/>
        </w:rPr>
      </w:pPr>
      <w:r>
        <w:rPr>
          <w:rFonts w:hint="eastAsia" w:ascii="宋体" w:hAnsi="宋体" w:cs="宋体"/>
          <w:color w:val="auto"/>
          <w:sz w:val="21"/>
          <w:szCs w:val="21"/>
        </w:rPr>
        <w:t>3.2.1磋商小组应当按照竞争性磋商文件中规定的磋商方法和标准，对符合性审查合格的响应文件进行商务和技术评估，本项目采用综合评分法，按本章第 2.2 款规定的量化因素和分值进行打分，并计算出综合评估得分。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（1）按本章第 2.2（1）目规定的评审因素和分值对施工组织设计部分计算出得分 A；</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（2）按本章第 2.2（2）目规定的评审因素和分值对磋商报价部分计算出得分 B；</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（3）按本章第 2.2（3）目规定的评审因素和分值对商务部分计算出得分 C。</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3.2.2评分分值计算保留小数点后两位，小数点后第三位“四舍五入”。</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3.2.3 得分汇总D=A+B+C。</w:t>
      </w:r>
    </w:p>
    <w:p>
      <w:pPr>
        <w:adjustRightInd w:val="0"/>
        <w:snapToGrid w:val="0"/>
        <w:spacing w:line="312" w:lineRule="auto"/>
        <w:ind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3.2.4 供应商得分</w:t>
      </w:r>
      <w:r>
        <w:rPr>
          <w:rFonts w:hint="eastAsia" w:ascii="宋体" w:hAnsi="宋体" w:cs="宋体"/>
          <w:color w:val="auto"/>
          <w:sz w:val="21"/>
          <w:szCs w:val="21"/>
          <w:lang w:val="en-US" w:eastAsia="zh-CN"/>
        </w:rPr>
        <w:t>E</w:t>
      </w:r>
      <w:r>
        <w:rPr>
          <w:rFonts w:hint="eastAsia" w:ascii="宋体" w:hAnsi="宋体" w:cs="宋体"/>
          <w:color w:val="auto"/>
          <w:sz w:val="21"/>
          <w:szCs w:val="21"/>
        </w:rPr>
        <w:t>=（D1+D2+D3</w:t>
      </w:r>
      <w:r>
        <w:rPr>
          <w:rFonts w:hint="eastAsia" w:ascii="宋体" w:hAnsi="宋体" w:cs="宋体"/>
          <w:color w:val="auto"/>
          <w:sz w:val="21"/>
          <w:szCs w:val="21"/>
          <w:lang w:val="en-US" w:eastAsia="zh-CN"/>
        </w:rPr>
        <w:t>+D4+D5</w:t>
      </w:r>
      <w:r>
        <w:rPr>
          <w:rFonts w:hint="eastAsia" w:ascii="宋体" w:hAnsi="宋体" w:cs="宋体"/>
          <w:color w:val="auto"/>
          <w:sz w:val="21"/>
          <w:szCs w:val="21"/>
        </w:rPr>
        <w:t>）/</w:t>
      </w:r>
      <w:r>
        <w:rPr>
          <w:rFonts w:hint="eastAsia" w:ascii="宋体" w:hAnsi="宋体" w:cs="宋体"/>
          <w:color w:val="auto"/>
          <w:sz w:val="21"/>
          <w:szCs w:val="21"/>
          <w:lang w:val="en-US" w:eastAsia="zh-CN"/>
        </w:rPr>
        <w:t>5</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3.2.5 </w:t>
      </w:r>
      <w:r>
        <w:rPr>
          <w:rFonts w:hint="eastAsia" w:ascii="宋体" w:hAnsi="宋体" w:cs="宋体"/>
          <w:color w:val="auto"/>
          <w:kern w:val="0"/>
          <w:sz w:val="21"/>
          <w:szCs w:val="21"/>
        </w:rPr>
        <w:t>如果磋商小组认为最低的报价明显低于供应商其成本价格,有可能影响本工程质量和不能诚信履约的，应当要求该供应商在规定的期限内予以解释说明并提供相关证明材料，供应商不能合理解释或提供相关证明材料的，则磋商小组认定其以低于成本价报价，其报价不能作为基准价,其响应文件将被否决</w:t>
      </w:r>
      <w:r>
        <w:rPr>
          <w:rFonts w:hint="eastAsia" w:ascii="宋体" w:hAnsi="宋体" w:cs="宋体"/>
          <w:color w:val="auto"/>
          <w:sz w:val="21"/>
          <w:szCs w:val="21"/>
        </w:rPr>
        <w:t>。</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3.3响应文件的澄清</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3.3.1在磋商过程中，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磋商小组不接受供应商主动提出的澄清、说明或补正。</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3.3.2供应商的澄清、说明或者补正不得超出响应文件的范围或者改变响应文件的实质性内容，并构成响应文件的组成部分。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3.3.3磋商小组对供应商提交的澄清、说明或补正有疑问的，可以要求供应商进一步澄清、说明或补正，直至满足磋商小组的要求。</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3.4磋商结果</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3.4.1除第二章“供应商须知”前附表授权磋商小组直接确定成交供应商外，磋商小组按照得分由高到低的顺序推荐三名成交候选供应商，并由采购人确定成交供应商。成交供应商放弃成交、因不可抗力不能履行合同、或未按竞争性磋商文件要求提交履约担保的、或者被查实存在影响成交结果的违法行为等情形，不符合成交条件的，采购人可以按照磋商小组提出的成交候选供应商名单排序依次确定其他成交候选供应商为成交供应商，也可以重新采购。</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3.4.2对于骗取成交行为的成交供应商，采购人将：(1)取消其成交资格、成交服务费不予退还并处以经济处罚。（2)列入供应商黑名单库。(3)情节严重的依法追究刑事责任。</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3.4.3磋商小组完成磋商后，应当向采购人提交书面磋商报告和成交候选供应商名单。</w:t>
      </w:r>
    </w:p>
    <w:p>
      <w:pPr>
        <w:spacing w:before="156" w:beforeLines="50" w:after="156" w:afterLines="50" w:line="312" w:lineRule="auto"/>
        <w:ind w:right="420"/>
        <w:rPr>
          <w:rFonts w:ascii="宋体" w:hAnsi="宋体" w:cs="宋体"/>
          <w:color w:val="auto"/>
        </w:rPr>
      </w:pPr>
    </w:p>
    <w:p>
      <w:pPr>
        <w:spacing w:line="312" w:lineRule="auto"/>
        <w:ind w:firstLine="723" w:firstLineChars="200"/>
        <w:jc w:val="center"/>
        <w:outlineLvl w:val="1"/>
        <w:rPr>
          <w:rFonts w:ascii="宋体" w:hAnsi="宋体" w:cs="宋体"/>
          <w:b/>
          <w:color w:val="auto"/>
          <w:sz w:val="21"/>
          <w:szCs w:val="21"/>
        </w:rPr>
      </w:pPr>
      <w:r>
        <w:rPr>
          <w:rFonts w:hint="eastAsia" w:ascii="宋体" w:hAnsi="宋体" w:cs="宋体"/>
          <w:b/>
          <w:color w:val="auto"/>
          <w:sz w:val="36"/>
        </w:rPr>
        <w:br w:type="page"/>
      </w:r>
      <w:bookmarkStart w:id="140" w:name="_Toc30303"/>
      <w:bookmarkStart w:id="141" w:name="_Toc4834"/>
      <w:bookmarkStart w:id="142" w:name="_Toc921"/>
      <w:r>
        <w:rPr>
          <w:rFonts w:hint="eastAsia" w:ascii="宋体" w:hAnsi="宋体" w:cs="宋体"/>
          <w:b/>
          <w:color w:val="auto"/>
          <w:sz w:val="21"/>
          <w:szCs w:val="21"/>
        </w:rPr>
        <w:t>关于印发《政府采购促进中小企业发展管理办法》的通知</w:t>
      </w:r>
      <w:bookmarkEnd w:id="140"/>
      <w:bookmarkEnd w:id="141"/>
      <w:bookmarkEnd w:id="142"/>
    </w:p>
    <w:p>
      <w:pPr>
        <w:spacing w:line="312" w:lineRule="auto"/>
        <w:ind w:firstLine="420" w:firstLineChars="200"/>
        <w:jc w:val="center"/>
        <w:outlineLvl w:val="1"/>
        <w:rPr>
          <w:rFonts w:ascii="宋体" w:hAnsi="宋体" w:cs="宋体"/>
          <w:bCs/>
          <w:color w:val="auto"/>
          <w:sz w:val="21"/>
          <w:szCs w:val="21"/>
        </w:rPr>
      </w:pPr>
      <w:bookmarkStart w:id="143" w:name="_Toc6891"/>
      <w:bookmarkStart w:id="144" w:name="_Toc16580"/>
      <w:bookmarkStart w:id="145" w:name="_Toc18113"/>
      <w:r>
        <w:rPr>
          <w:rFonts w:hint="eastAsia" w:ascii="宋体" w:hAnsi="宋体" w:cs="宋体"/>
          <w:bCs/>
          <w:color w:val="auto"/>
          <w:sz w:val="21"/>
          <w:szCs w:val="21"/>
        </w:rPr>
        <w:t>财库〔2020〕46号</w:t>
      </w:r>
      <w:bookmarkEnd w:id="143"/>
      <w:bookmarkEnd w:id="144"/>
      <w:bookmarkEnd w:id="145"/>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各中央预算单位办公厅（室），各省、自治区、直辖市、计划单列市财政厅（局）、工业和信息化主管部门，新疆生产建设兵团财政局、工业和信息化主管部门：</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312" w:lineRule="auto"/>
        <w:rPr>
          <w:rFonts w:ascii="宋体" w:hAnsi="宋体" w:cs="宋体"/>
          <w:bCs/>
          <w:color w:val="auto"/>
          <w:sz w:val="21"/>
          <w:szCs w:val="21"/>
        </w:rPr>
      </w:pPr>
    </w:p>
    <w:p>
      <w:pPr>
        <w:spacing w:line="312" w:lineRule="auto"/>
        <w:rPr>
          <w:rFonts w:ascii="宋体" w:hAnsi="宋体" w:cs="宋体"/>
          <w:b/>
          <w:color w:val="auto"/>
          <w:sz w:val="21"/>
          <w:szCs w:val="21"/>
        </w:rPr>
      </w:pPr>
      <w:r>
        <w:rPr>
          <w:rFonts w:hint="eastAsia" w:ascii="宋体" w:hAnsi="宋体" w:cs="宋体"/>
          <w:b/>
          <w:color w:val="auto"/>
          <w:sz w:val="21"/>
          <w:szCs w:val="21"/>
        </w:rPr>
        <w:t>附件：</w:t>
      </w:r>
    </w:p>
    <w:p>
      <w:pPr>
        <w:spacing w:line="312" w:lineRule="auto"/>
        <w:jc w:val="center"/>
        <w:outlineLvl w:val="1"/>
        <w:rPr>
          <w:rFonts w:ascii="宋体" w:hAnsi="宋体" w:cs="宋体"/>
          <w:b/>
          <w:color w:val="auto"/>
          <w:sz w:val="21"/>
          <w:szCs w:val="21"/>
        </w:rPr>
      </w:pPr>
      <w:bookmarkStart w:id="146" w:name="_Toc18877"/>
      <w:bookmarkStart w:id="147" w:name="_Toc6263"/>
      <w:bookmarkStart w:id="148" w:name="_Toc22881"/>
      <w:r>
        <w:rPr>
          <w:rFonts w:hint="eastAsia" w:ascii="宋体" w:hAnsi="宋体" w:cs="宋体"/>
          <w:b/>
          <w:color w:val="auto"/>
          <w:sz w:val="21"/>
          <w:szCs w:val="21"/>
        </w:rPr>
        <w:t>政府采购促进中小企业发展管理办法</w:t>
      </w:r>
      <w:bookmarkEnd w:id="146"/>
      <w:bookmarkEnd w:id="147"/>
      <w:bookmarkEnd w:id="148"/>
    </w:p>
    <w:p>
      <w:pPr>
        <w:pStyle w:val="3"/>
        <w:spacing w:line="312" w:lineRule="auto"/>
        <w:jc w:val="center"/>
        <w:rPr>
          <w:rFonts w:ascii="宋体" w:hAnsi="宋体" w:eastAsia="宋体" w:cs="宋体"/>
          <w:bCs/>
          <w:color w:val="auto"/>
          <w:sz w:val="21"/>
          <w:szCs w:val="21"/>
        </w:rPr>
      </w:pP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第一条为了发挥政府采购的政策功能，促进中小企业健康发展，根据《中华人民共和国政府采购法》、《中华人民共和国中小企业促进法》等有关法律法规，制定本办法。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第三条采购人在政府采购活动中应当通过加强采购需求管理，落实预留采购份额、价格评审优惠、优先采购等措施，提高中小企业在政府采购中的份额，支持中小企业发展。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第四条在政府采购活动中，供应商提供的货物、工程或者服务符合下列情形的，享受本办法规定的中小企业扶持政策：</w:t>
      </w:r>
    </w:p>
    <w:p>
      <w:pPr>
        <w:numPr>
          <w:ilvl w:val="0"/>
          <w:numId w:val="4"/>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在货物采购项目中，货物由中小企业制造，即货物由中小企业生产且使用该中小企业商号或者注册商标；</w:t>
      </w:r>
    </w:p>
    <w:p>
      <w:pPr>
        <w:numPr>
          <w:ilvl w:val="0"/>
          <w:numId w:val="4"/>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在工程采购项目中，工程由中小企业承建，即工程施工单位为中小企业；</w:t>
      </w:r>
    </w:p>
    <w:p>
      <w:pPr>
        <w:numPr>
          <w:ilvl w:val="0"/>
          <w:numId w:val="4"/>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在服务采购项目中，服务由中小企业承接，即提供服务的人员为中小企业依照《中华人民共和国劳动合同法》订立劳动合同的从业人员。</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在货物采购项目中，供应商提供的货物既有中小企业制造货物，也有大型企业制造货物的，不享受本办法规定的中小企业扶持政策。</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以联合体形式参加政府采购活动，联合体各方均为中小企业的，联合体视同中小企业。其中，联合体各方均为小微企业的，联合体视同小微企业。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符合下列情形之一的，可不专门面向中小企业预留采购份额：</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法律法规和国家有关政策明确规定优先或者应当面向事业单位、社会组织等非企业主体采购的；</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因确需使用不可替代的专利、专有技术，基础设施限制，或者提供特定公共服务等原因，只能从中小企业之外的供应商处采购的；</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按照本办法规定预留采购份额无法确保充分供应、充分竞争，或者存在可能影响政府采购目标实现的情形；</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框架协议采购项目；</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省级以上人民政府财政部门规定的其他情形。除上述情形外，其他均为适宜由中小企业提供的情形。</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第七条采购限额标准以上，200万元以下的货物和服务采购项目、400万元以下的工程采购项目，适宜由中小企业提供的，采购人应当专门面向中小企业采购。</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numPr>
          <w:ilvl w:val="0"/>
          <w:numId w:val="6"/>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将采购项目整体或者设置采购包专门面向中小企业采购；</w:t>
      </w:r>
    </w:p>
    <w:p>
      <w:pPr>
        <w:numPr>
          <w:ilvl w:val="0"/>
          <w:numId w:val="6"/>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要求供应商以联合体形式参加采购活动，且联合体中中小企业承担的部分达到一定比例；</w:t>
      </w:r>
    </w:p>
    <w:p>
      <w:pPr>
        <w:numPr>
          <w:ilvl w:val="0"/>
          <w:numId w:val="6"/>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要求获得采购合同的供应商将采购项目中的一定比例分包给一家或者多家中小企业。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组成联合体或者接受分包合同的中小企业与联合体内其他企业、分包企业之间不得存在直接控股、管理关系。</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一条中小企业参加政府采购活动，应当出具本办法规定的《中小企业声明函》（附1），否则不得享受相关中小企业扶持政策。任何单位和个人不得要求供应商提供《中小企业声明函》之外的中小企业身份证明文件。</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第十二条采购项目涉及中小企业采购的，采购文件应当明确以下内容：</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预留份额的采购项目或者采购包，明确该项目或相关采购包专门面向中小企业采购，以及相关标的及预算金额；</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要求以联合体形式参加或者合同分包的，明确联合协议或者分包意向协议中中小企业合同金额应当达到的比例，并作为供应商资格条件；</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非预留份额的采购项目或者采购包，明确有关价格扣除比例或者价格分加分比例；</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规定依据本办法规定享受扶持政策获得政府采购合同的，小微企业不得将合同分包给大中型企业，中型企业不得将合同分包给大型企业；</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采购人认为具备相关条件的，明确对中小企业在资金支付期限、预付款比例等方面的优惠措施；</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明确采购标的对应的中小企业划分标准所属行业；</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法律法规和省级以上人民政府财政部门规定的其他事项。</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三条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第十五条鼓励各地区、各部门在采购活动中允许中小企业引入信用担保手段，为中小企业在投标（响应）保证、履约保证等方面提供专业化服务。鼓励中小企业依法合规通过政府采购合同融资。第</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十六条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第十七条各地区、各部门应当对涉及中小企业采购的预算项目实施全过程绩效管理，合理设置绩效目标和指标，落实扶持中小企业有关政策要求，定期开展绩效监控和评价，强化绩效评价结果应用。</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条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第二十二条对外援助项目、国家相关资格或者资质管理制度另有规定的项目，不适用本办法。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第二十三条关于视同中小企业的其他主体的政府采购扶持政策，由财政部会同有关部门另行规定。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第二十四条省级财政部门可以会同中小企业主管部门根据本办法的规定制定具体实施办法。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第二十五条本办法自2021年1月1日起施行。《财政部工业和信息化部关于印发〈政府采购促进中小企业发展暂行办法〉的通知》（财库﹝2011﹞181号）同时废止。</w:t>
      </w:r>
    </w:p>
    <w:p>
      <w:pPr>
        <w:spacing w:line="312" w:lineRule="auto"/>
        <w:jc w:val="center"/>
        <w:rPr>
          <w:rFonts w:ascii="宋体" w:hAnsi="宋体" w:cs="宋体"/>
          <w:bCs/>
          <w:color w:val="auto"/>
          <w:sz w:val="21"/>
          <w:szCs w:val="21"/>
        </w:rPr>
      </w:pPr>
    </w:p>
    <w:p>
      <w:pPr>
        <w:rPr>
          <w:rFonts w:ascii="宋体" w:hAnsi="宋体" w:cs="宋体"/>
          <w:b/>
          <w:bCs/>
          <w:color w:val="auto"/>
          <w:sz w:val="21"/>
          <w:szCs w:val="21"/>
        </w:rPr>
      </w:pPr>
      <w:bookmarkStart w:id="149" w:name="_Toc22454"/>
      <w:bookmarkStart w:id="150" w:name="_Toc2538"/>
      <w:r>
        <w:rPr>
          <w:rFonts w:hint="eastAsia" w:ascii="宋体" w:hAnsi="宋体" w:cs="宋体"/>
          <w:b/>
          <w:bCs/>
          <w:color w:val="auto"/>
          <w:sz w:val="21"/>
          <w:szCs w:val="21"/>
        </w:rPr>
        <w:br w:type="page"/>
      </w:r>
    </w:p>
    <w:bookmarkEnd w:id="149"/>
    <w:bookmarkEnd w:id="150"/>
    <w:p>
      <w:pPr>
        <w:adjustRightInd w:val="0"/>
        <w:snapToGrid w:val="0"/>
        <w:spacing w:line="312" w:lineRule="auto"/>
        <w:jc w:val="center"/>
        <w:rPr>
          <w:rFonts w:ascii="宋体" w:hAnsi="宋体" w:cs="宋体"/>
          <w:b/>
          <w:bCs/>
          <w:color w:val="auto"/>
          <w:sz w:val="22"/>
          <w:szCs w:val="22"/>
        </w:rPr>
      </w:pPr>
      <w:r>
        <w:rPr>
          <w:rFonts w:hint="eastAsia" w:ascii="宋体" w:hAnsi="宋体" w:cs="宋体"/>
          <w:b/>
          <w:bCs/>
          <w:color w:val="auto"/>
          <w:sz w:val="22"/>
          <w:szCs w:val="22"/>
        </w:rPr>
        <w:t>中小企业声明函（工程）</w:t>
      </w:r>
    </w:p>
    <w:p>
      <w:pPr>
        <w:adjustRightInd w:val="0"/>
        <w:snapToGrid w:val="0"/>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12" w:lineRule="auto"/>
        <w:ind w:firstLine="420" w:firstLineChars="200"/>
        <w:rPr>
          <w:rFonts w:ascii="宋体" w:hAnsi="宋体" w:cs="宋体"/>
          <w:color w:val="auto"/>
          <w:sz w:val="21"/>
          <w:szCs w:val="16"/>
          <w:u w:val="single"/>
        </w:rPr>
      </w:pPr>
      <w:r>
        <w:rPr>
          <w:rFonts w:hint="eastAsia" w:ascii="宋体" w:hAnsi="宋体" w:cs="宋体"/>
          <w:color w:val="auto"/>
          <w:sz w:val="21"/>
          <w:szCs w:val="16"/>
        </w:rPr>
        <w:t>1.</w:t>
      </w:r>
      <w:r>
        <w:rPr>
          <w:rFonts w:hint="eastAsia" w:ascii="宋体" w:hAnsi="宋体" w:cs="宋体"/>
          <w:color w:val="auto"/>
          <w:sz w:val="21"/>
          <w:szCs w:val="16"/>
          <w:u w:val="single"/>
        </w:rPr>
        <w:t xml:space="preserve">（标的名称） </w:t>
      </w:r>
      <w:r>
        <w:rPr>
          <w:rFonts w:hint="eastAsia" w:ascii="宋体" w:hAnsi="宋体" w:cs="宋体"/>
          <w:color w:val="auto"/>
          <w:sz w:val="21"/>
          <w:szCs w:val="16"/>
        </w:rPr>
        <w:t>，属于（采购文件中明确的所属行业）；承建（承接）企业为</w:t>
      </w:r>
      <w:r>
        <w:rPr>
          <w:rFonts w:hint="eastAsia" w:ascii="宋体" w:hAnsi="宋体" w:cs="宋体"/>
          <w:color w:val="auto"/>
          <w:sz w:val="21"/>
          <w:szCs w:val="16"/>
          <w:u w:val="single"/>
        </w:rPr>
        <w:t>（企业名称）</w:t>
      </w:r>
      <w:r>
        <w:rPr>
          <w:rFonts w:hint="eastAsia" w:ascii="宋体" w:hAnsi="宋体" w:cs="宋体"/>
          <w:color w:val="auto"/>
          <w:sz w:val="21"/>
          <w:szCs w:val="16"/>
        </w:rPr>
        <w:t>，从业人员</w:t>
      </w:r>
      <w:r>
        <w:rPr>
          <w:rFonts w:hint="eastAsia" w:ascii="宋体" w:hAnsi="宋体" w:cs="宋体"/>
          <w:color w:val="auto"/>
          <w:sz w:val="21"/>
          <w:szCs w:val="16"/>
          <w:u w:val="single"/>
        </w:rPr>
        <w:t xml:space="preserve">    </w:t>
      </w:r>
      <w:r>
        <w:rPr>
          <w:rFonts w:hint="eastAsia" w:ascii="宋体" w:hAnsi="宋体" w:cs="宋体"/>
          <w:color w:val="auto"/>
          <w:sz w:val="21"/>
          <w:szCs w:val="16"/>
        </w:rPr>
        <w:t>人，营业收入为</w:t>
      </w:r>
      <w:r>
        <w:rPr>
          <w:rFonts w:hint="eastAsia" w:ascii="宋体" w:hAnsi="宋体" w:cs="宋体"/>
          <w:color w:val="auto"/>
          <w:sz w:val="21"/>
          <w:szCs w:val="16"/>
          <w:u w:val="single"/>
        </w:rPr>
        <w:t xml:space="preserve">    </w:t>
      </w:r>
      <w:r>
        <w:rPr>
          <w:rFonts w:hint="eastAsia" w:ascii="宋体" w:hAnsi="宋体" w:cs="宋体"/>
          <w:color w:val="auto"/>
          <w:sz w:val="21"/>
          <w:szCs w:val="16"/>
        </w:rPr>
        <w:t>万元，资产总额为</w:t>
      </w:r>
      <w:r>
        <w:rPr>
          <w:rFonts w:hint="eastAsia" w:ascii="宋体" w:hAnsi="宋体" w:cs="宋体"/>
          <w:color w:val="auto"/>
          <w:sz w:val="21"/>
          <w:szCs w:val="16"/>
          <w:u w:val="single"/>
        </w:rPr>
        <w:t xml:space="preserve">    </w:t>
      </w:r>
      <w:r>
        <w:rPr>
          <w:rFonts w:hint="eastAsia" w:ascii="宋体" w:hAnsi="宋体" w:cs="宋体"/>
          <w:color w:val="auto"/>
          <w:sz w:val="21"/>
          <w:szCs w:val="16"/>
        </w:rPr>
        <w:t>万元，属于</w:t>
      </w:r>
      <w:r>
        <w:rPr>
          <w:rFonts w:hint="eastAsia" w:ascii="宋体" w:hAnsi="宋体" w:cs="宋体"/>
          <w:color w:val="auto"/>
          <w:sz w:val="21"/>
          <w:szCs w:val="16"/>
          <w:u w:val="single"/>
        </w:rPr>
        <w:t>（中型企业、小型企业、微型企业）；</w:t>
      </w:r>
    </w:p>
    <w:p>
      <w:pPr>
        <w:adjustRightInd w:val="0"/>
        <w:snapToGrid w:val="0"/>
        <w:spacing w:line="312" w:lineRule="auto"/>
        <w:ind w:firstLine="420" w:firstLineChars="200"/>
        <w:rPr>
          <w:rFonts w:ascii="宋体" w:hAnsi="宋体" w:cs="宋体"/>
          <w:color w:val="auto"/>
          <w:sz w:val="21"/>
          <w:szCs w:val="16"/>
          <w:u w:val="single"/>
        </w:rPr>
      </w:pPr>
      <w:r>
        <w:rPr>
          <w:rFonts w:hint="eastAsia" w:ascii="宋体" w:hAnsi="宋体" w:cs="宋体"/>
          <w:color w:val="auto"/>
          <w:sz w:val="21"/>
          <w:szCs w:val="16"/>
        </w:rPr>
        <w:t>2.</w:t>
      </w:r>
      <w:r>
        <w:rPr>
          <w:rFonts w:hint="eastAsia" w:ascii="宋体" w:hAnsi="宋体" w:cs="宋体"/>
          <w:color w:val="auto"/>
          <w:sz w:val="21"/>
          <w:szCs w:val="16"/>
          <w:u w:val="single"/>
        </w:rPr>
        <w:t xml:space="preserve">（标的名称） </w:t>
      </w:r>
      <w:r>
        <w:rPr>
          <w:rFonts w:hint="eastAsia" w:ascii="宋体" w:hAnsi="宋体" w:cs="宋体"/>
          <w:color w:val="auto"/>
          <w:sz w:val="21"/>
          <w:szCs w:val="16"/>
        </w:rPr>
        <w:t>，属于（采购文件中明确的所属行业）；承建（承接）企业为</w:t>
      </w:r>
      <w:r>
        <w:rPr>
          <w:rFonts w:hint="eastAsia" w:ascii="宋体" w:hAnsi="宋体" w:cs="宋体"/>
          <w:color w:val="auto"/>
          <w:sz w:val="21"/>
          <w:szCs w:val="16"/>
          <w:u w:val="single"/>
        </w:rPr>
        <w:t>（企业名称）</w:t>
      </w:r>
      <w:r>
        <w:rPr>
          <w:rFonts w:hint="eastAsia" w:ascii="宋体" w:hAnsi="宋体" w:cs="宋体"/>
          <w:color w:val="auto"/>
          <w:sz w:val="21"/>
          <w:szCs w:val="16"/>
        </w:rPr>
        <w:t>，从业人员</w:t>
      </w:r>
      <w:r>
        <w:rPr>
          <w:rFonts w:hint="eastAsia" w:ascii="宋体" w:hAnsi="宋体" w:cs="宋体"/>
          <w:color w:val="auto"/>
          <w:sz w:val="21"/>
          <w:szCs w:val="16"/>
          <w:u w:val="single"/>
        </w:rPr>
        <w:t xml:space="preserve">    </w:t>
      </w:r>
      <w:r>
        <w:rPr>
          <w:rFonts w:hint="eastAsia" w:ascii="宋体" w:hAnsi="宋体" w:cs="宋体"/>
          <w:color w:val="auto"/>
          <w:sz w:val="21"/>
          <w:szCs w:val="16"/>
        </w:rPr>
        <w:t>人，营业收入为</w:t>
      </w:r>
      <w:r>
        <w:rPr>
          <w:rFonts w:hint="eastAsia" w:ascii="宋体" w:hAnsi="宋体" w:cs="宋体"/>
          <w:color w:val="auto"/>
          <w:sz w:val="21"/>
          <w:szCs w:val="16"/>
          <w:u w:val="single"/>
        </w:rPr>
        <w:t xml:space="preserve">    </w:t>
      </w:r>
      <w:r>
        <w:rPr>
          <w:rFonts w:hint="eastAsia" w:ascii="宋体" w:hAnsi="宋体" w:cs="宋体"/>
          <w:color w:val="auto"/>
          <w:sz w:val="21"/>
          <w:szCs w:val="16"/>
        </w:rPr>
        <w:t>万元，资产总额为</w:t>
      </w:r>
      <w:r>
        <w:rPr>
          <w:rFonts w:hint="eastAsia" w:ascii="宋体" w:hAnsi="宋体" w:cs="宋体"/>
          <w:color w:val="auto"/>
          <w:sz w:val="21"/>
          <w:szCs w:val="16"/>
          <w:u w:val="single"/>
        </w:rPr>
        <w:t xml:space="preserve">    </w:t>
      </w:r>
      <w:r>
        <w:rPr>
          <w:rFonts w:hint="eastAsia" w:ascii="宋体" w:hAnsi="宋体" w:cs="宋体"/>
          <w:color w:val="auto"/>
          <w:sz w:val="21"/>
          <w:szCs w:val="16"/>
        </w:rPr>
        <w:t>万元，属于</w:t>
      </w:r>
      <w:r>
        <w:rPr>
          <w:rFonts w:hint="eastAsia" w:ascii="宋体" w:hAnsi="宋体" w:cs="宋体"/>
          <w:color w:val="auto"/>
          <w:sz w:val="21"/>
          <w:szCs w:val="16"/>
          <w:u w:val="single"/>
        </w:rPr>
        <w:t>（中型企业、小型企业、微型企业）；</w:t>
      </w:r>
    </w:p>
    <w:p>
      <w:pPr>
        <w:adjustRightInd w:val="0"/>
        <w:snapToGrid w:val="0"/>
        <w:spacing w:line="312" w:lineRule="auto"/>
        <w:ind w:firstLine="420" w:firstLineChars="200"/>
        <w:rPr>
          <w:rFonts w:ascii="宋体" w:hAnsi="宋体" w:cs="宋体"/>
          <w:color w:val="auto"/>
          <w:sz w:val="16"/>
          <w:szCs w:val="16"/>
        </w:rPr>
      </w:pPr>
      <w:r>
        <w:rPr>
          <w:rFonts w:hint="eastAsia" w:ascii="宋体" w:hAnsi="宋体" w:cs="宋体"/>
          <w:color w:val="auto"/>
          <w:sz w:val="21"/>
          <w:szCs w:val="16"/>
        </w:rPr>
        <w:t>......</w:t>
      </w:r>
    </w:p>
    <w:p>
      <w:pPr>
        <w:adjustRightInd w:val="0"/>
        <w:snapToGrid w:val="0"/>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adjustRightInd w:val="0"/>
        <w:snapToGrid w:val="0"/>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本企业对上述声明内容的真实性负责。如有虚假，将依法承担相应责任。 </w:t>
      </w:r>
    </w:p>
    <w:p>
      <w:pPr>
        <w:adjustRightInd w:val="0"/>
        <w:snapToGrid w:val="0"/>
        <w:spacing w:line="312" w:lineRule="auto"/>
        <w:ind w:firstLine="1050" w:firstLineChars="500"/>
        <w:rPr>
          <w:rFonts w:ascii="宋体" w:hAnsi="宋体" w:cs="宋体"/>
          <w:color w:val="auto"/>
          <w:sz w:val="21"/>
          <w:szCs w:val="21"/>
        </w:rPr>
      </w:pPr>
      <w:r>
        <w:rPr>
          <w:rFonts w:hint="eastAsia" w:ascii="宋体" w:hAnsi="宋体" w:cs="宋体"/>
          <w:color w:val="auto"/>
          <w:sz w:val="21"/>
          <w:szCs w:val="21"/>
        </w:rPr>
        <w:t xml:space="preserve">企业名称（盖章）： </w:t>
      </w:r>
    </w:p>
    <w:p>
      <w:pPr>
        <w:adjustRightInd w:val="0"/>
        <w:snapToGrid w:val="0"/>
        <w:spacing w:line="312" w:lineRule="auto"/>
        <w:ind w:firstLine="1050" w:firstLineChars="500"/>
        <w:rPr>
          <w:rFonts w:ascii="宋体" w:hAnsi="宋体" w:cs="宋体"/>
          <w:color w:val="auto"/>
          <w:sz w:val="21"/>
          <w:szCs w:val="21"/>
        </w:rPr>
      </w:pPr>
      <w:r>
        <w:rPr>
          <w:rFonts w:hint="eastAsia" w:ascii="宋体" w:hAnsi="宋体" w:cs="宋体"/>
          <w:color w:val="auto"/>
          <w:sz w:val="21"/>
          <w:szCs w:val="21"/>
        </w:rPr>
        <w:t xml:space="preserve">日 期： </w:t>
      </w:r>
    </w:p>
    <w:p>
      <w:pPr>
        <w:adjustRightInd w:val="0"/>
        <w:snapToGrid w:val="0"/>
        <w:spacing w:line="312" w:lineRule="auto"/>
        <w:rPr>
          <w:rFonts w:ascii="宋体" w:hAnsi="宋体" w:cs="宋体"/>
          <w:color w:val="auto"/>
          <w:sz w:val="21"/>
          <w:szCs w:val="21"/>
        </w:rPr>
      </w:pPr>
    </w:p>
    <w:p>
      <w:pPr>
        <w:adjustRightInd w:val="0"/>
        <w:snapToGrid w:val="0"/>
        <w:spacing w:line="312" w:lineRule="auto"/>
        <w:rPr>
          <w:rFonts w:ascii="宋体" w:hAnsi="宋体" w:cs="宋体"/>
          <w:color w:val="auto"/>
          <w:sz w:val="21"/>
          <w:szCs w:val="21"/>
        </w:rPr>
      </w:pPr>
      <w:r>
        <w:rPr>
          <w:rFonts w:hint="eastAsia" w:ascii="宋体" w:hAnsi="宋体" w:cs="宋体"/>
          <w:color w:val="auto"/>
          <w:sz w:val="21"/>
          <w:szCs w:val="21"/>
        </w:rPr>
        <w:t xml:space="preserve">注：从业人员、营业收入、资产总额填报上一年度数据，无上一年度数据的新成立企业可不填报。 </w:t>
      </w:r>
    </w:p>
    <w:p>
      <w:pPr>
        <w:adjustRightInd w:val="0"/>
        <w:snapToGrid w:val="0"/>
        <w:spacing w:line="312" w:lineRule="auto"/>
        <w:rPr>
          <w:rFonts w:ascii="宋体" w:hAnsi="宋体" w:cs="宋体"/>
          <w:color w:val="auto"/>
          <w:sz w:val="21"/>
          <w:szCs w:val="21"/>
        </w:rPr>
      </w:pPr>
    </w:p>
    <w:p>
      <w:pPr>
        <w:adjustRightInd w:val="0"/>
        <w:snapToGrid w:val="0"/>
        <w:spacing w:line="312" w:lineRule="auto"/>
        <w:rPr>
          <w:rFonts w:ascii="宋体" w:hAnsi="宋体" w:cs="宋体"/>
          <w:color w:val="auto"/>
          <w:sz w:val="21"/>
          <w:szCs w:val="21"/>
        </w:rPr>
      </w:pPr>
    </w:p>
    <w:p>
      <w:pPr>
        <w:spacing w:line="312" w:lineRule="auto"/>
        <w:rPr>
          <w:rFonts w:ascii="宋体" w:hAnsi="宋体" w:cs="宋体"/>
          <w:b/>
          <w:color w:val="auto"/>
          <w:sz w:val="21"/>
          <w:szCs w:val="21"/>
        </w:rPr>
      </w:pPr>
      <w:r>
        <w:rPr>
          <w:rFonts w:hint="eastAsia" w:ascii="宋体" w:hAnsi="宋体" w:cs="宋体"/>
          <w:b/>
          <w:color w:val="auto"/>
          <w:sz w:val="21"/>
          <w:szCs w:val="21"/>
        </w:rPr>
        <w:br w:type="page"/>
      </w:r>
    </w:p>
    <w:p>
      <w:pPr>
        <w:spacing w:line="312" w:lineRule="auto"/>
        <w:jc w:val="center"/>
        <w:outlineLvl w:val="1"/>
        <w:rPr>
          <w:rFonts w:ascii="宋体" w:hAnsi="宋体" w:cs="宋体"/>
          <w:b/>
          <w:color w:val="auto"/>
          <w:sz w:val="21"/>
          <w:szCs w:val="21"/>
        </w:rPr>
      </w:pPr>
      <w:bookmarkStart w:id="151" w:name="_Toc2305"/>
      <w:bookmarkStart w:id="152" w:name="_Toc31779"/>
      <w:bookmarkStart w:id="153" w:name="_Toc17926"/>
      <w:r>
        <w:rPr>
          <w:rFonts w:hint="eastAsia" w:ascii="宋体" w:hAnsi="宋体" w:cs="宋体"/>
          <w:b/>
          <w:color w:val="auto"/>
          <w:sz w:val="21"/>
          <w:szCs w:val="21"/>
        </w:rPr>
        <w:t>中小企业划型标准规定</w:t>
      </w:r>
      <w:bookmarkEnd w:id="151"/>
      <w:bookmarkEnd w:id="152"/>
      <w:bookmarkEnd w:id="153"/>
    </w:p>
    <w:p>
      <w:pPr>
        <w:spacing w:line="312" w:lineRule="auto"/>
        <w:rPr>
          <w:rFonts w:ascii="宋体" w:hAnsi="宋体" w:cs="宋体"/>
          <w:color w:val="auto"/>
          <w:sz w:val="21"/>
          <w:szCs w:val="21"/>
        </w:rPr>
      </w:pPr>
      <w:r>
        <w:rPr>
          <w:rFonts w:hint="eastAsia" w:ascii="宋体" w:hAnsi="宋体" w:cs="宋体"/>
          <w:color w:val="auto"/>
          <w:sz w:val="21"/>
          <w:szCs w:val="21"/>
        </w:rPr>
        <w:t>　　</w:t>
      </w:r>
    </w:p>
    <w:p>
      <w:pPr>
        <w:spacing w:line="312" w:lineRule="auto"/>
        <w:rPr>
          <w:rFonts w:ascii="宋体" w:hAnsi="宋体" w:cs="宋体"/>
          <w:color w:val="auto"/>
          <w:sz w:val="21"/>
          <w:szCs w:val="21"/>
        </w:rPr>
      </w:pPr>
      <w:r>
        <w:rPr>
          <w:rFonts w:hint="eastAsia" w:ascii="宋体" w:hAnsi="宋体" w:cs="宋体"/>
          <w:color w:val="auto"/>
          <w:sz w:val="21"/>
          <w:szCs w:val="21"/>
        </w:rPr>
        <w:t>一、根据《中华人民共和国中小企业促进法》和《国务院关于进一步促进中小企业发展的若干意见》(国发〔2009〕36号)，制定本规定。</w:t>
      </w:r>
    </w:p>
    <w:p>
      <w:pPr>
        <w:spacing w:line="312" w:lineRule="auto"/>
        <w:rPr>
          <w:rFonts w:ascii="宋体" w:hAnsi="宋体" w:cs="宋体"/>
          <w:color w:val="auto"/>
          <w:sz w:val="21"/>
          <w:szCs w:val="21"/>
        </w:rPr>
      </w:pPr>
      <w:r>
        <w:rPr>
          <w:rFonts w:hint="eastAsia" w:ascii="宋体" w:hAnsi="宋体" w:cs="宋体"/>
          <w:color w:val="auto"/>
          <w:sz w:val="21"/>
          <w:szCs w:val="21"/>
        </w:rPr>
        <w:t>　　二、中小企业划分为中型、小型、微型三种类型，具体标准根据企业从业人员、营业收入、资产总额等指标，结合行业特点制定。</w:t>
      </w:r>
    </w:p>
    <w:p>
      <w:pPr>
        <w:spacing w:line="312" w:lineRule="auto"/>
        <w:rPr>
          <w:rFonts w:ascii="宋体" w:hAnsi="宋体" w:cs="宋体"/>
          <w:color w:val="auto"/>
          <w:sz w:val="21"/>
          <w:szCs w:val="21"/>
        </w:rPr>
      </w:pPr>
      <w:r>
        <w:rPr>
          <w:rFonts w:hint="eastAsia" w:ascii="宋体" w:hAnsi="宋体" w:cs="宋体"/>
          <w:color w:val="auto"/>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rFonts w:ascii="宋体" w:hAnsi="宋体" w:cs="宋体"/>
          <w:color w:val="auto"/>
          <w:sz w:val="21"/>
          <w:szCs w:val="21"/>
        </w:rPr>
      </w:pPr>
      <w:r>
        <w:rPr>
          <w:rFonts w:hint="eastAsia" w:ascii="宋体" w:hAnsi="宋体" w:cs="宋体"/>
          <w:color w:val="auto"/>
          <w:sz w:val="21"/>
          <w:szCs w:val="21"/>
        </w:rPr>
        <w:t>　　四、各行业划型标准为：</w:t>
      </w:r>
    </w:p>
    <w:p>
      <w:pPr>
        <w:spacing w:line="312" w:lineRule="auto"/>
        <w:rPr>
          <w:rFonts w:ascii="宋体" w:hAnsi="宋体" w:cs="宋体"/>
          <w:color w:val="auto"/>
          <w:sz w:val="21"/>
          <w:szCs w:val="21"/>
        </w:rPr>
      </w:pPr>
      <w:r>
        <w:rPr>
          <w:rFonts w:hint="eastAsia" w:ascii="宋体" w:hAnsi="宋体" w:cs="宋体"/>
          <w:color w:val="auto"/>
          <w:sz w:val="21"/>
          <w:szCs w:val="21"/>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（十六）其他未列明行业。从业人员300人以下的为中小微型企业。其中，从业人员100人及以上的为中型企业；从业人员10人及以上的为小型企业；从业人员10人以下的为微型企业。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五、企业类型的划分以统计部门的统计数据为依据。</w:t>
      </w:r>
    </w:p>
    <w:p>
      <w:pPr>
        <w:spacing w:line="312" w:lineRule="auto"/>
        <w:rPr>
          <w:rFonts w:ascii="宋体" w:hAnsi="宋体" w:cs="宋体"/>
          <w:color w:val="auto"/>
          <w:sz w:val="21"/>
          <w:szCs w:val="21"/>
        </w:rPr>
      </w:pPr>
      <w:r>
        <w:rPr>
          <w:rFonts w:hint="eastAsia" w:ascii="宋体" w:hAnsi="宋体" w:cs="宋体"/>
          <w:color w:val="auto"/>
          <w:sz w:val="21"/>
          <w:szCs w:val="21"/>
        </w:rPr>
        <w:t>　　六、本规定适用于在中华人民共和国境内依法设立的各类所有制和各种组织形式的企业。个体工商户和本规定以外的行业，参照本规定进行划型。</w:t>
      </w:r>
    </w:p>
    <w:p>
      <w:pPr>
        <w:spacing w:line="312" w:lineRule="auto"/>
        <w:rPr>
          <w:rFonts w:ascii="宋体" w:hAnsi="宋体" w:cs="宋体"/>
          <w:color w:val="auto"/>
          <w:sz w:val="21"/>
          <w:szCs w:val="21"/>
        </w:rPr>
      </w:pPr>
      <w:r>
        <w:rPr>
          <w:rFonts w:hint="eastAsia" w:ascii="宋体" w:hAnsi="宋体" w:cs="宋体"/>
          <w:color w:val="auto"/>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rFonts w:ascii="宋体" w:hAnsi="宋体" w:cs="宋体"/>
          <w:color w:val="auto"/>
          <w:sz w:val="21"/>
          <w:szCs w:val="21"/>
        </w:rPr>
      </w:pPr>
      <w:r>
        <w:rPr>
          <w:rFonts w:hint="eastAsia" w:ascii="宋体" w:hAnsi="宋体" w:cs="宋体"/>
          <w:color w:val="auto"/>
          <w:sz w:val="21"/>
          <w:szCs w:val="21"/>
        </w:rPr>
        <w:t>　　八、本规定由工业和信息化部、国家统计局会同有关部门根据《国民经济行业分类》修订情况和企业发展变化情况适时修订。</w:t>
      </w:r>
    </w:p>
    <w:p>
      <w:pPr>
        <w:spacing w:line="312" w:lineRule="auto"/>
        <w:rPr>
          <w:rFonts w:ascii="宋体" w:hAnsi="宋体" w:cs="宋体"/>
          <w:color w:val="auto"/>
          <w:sz w:val="21"/>
          <w:szCs w:val="21"/>
        </w:rPr>
      </w:pPr>
      <w:r>
        <w:rPr>
          <w:rFonts w:hint="eastAsia" w:ascii="宋体" w:hAnsi="宋体" w:cs="宋体"/>
          <w:color w:val="auto"/>
          <w:sz w:val="21"/>
          <w:szCs w:val="21"/>
        </w:rPr>
        <w:t>　　九、本规定由工业和信息化部、国家统计局会同有关部门负责解释。</w:t>
      </w:r>
    </w:p>
    <w:p>
      <w:pPr>
        <w:spacing w:line="312" w:lineRule="auto"/>
        <w:ind w:right="420"/>
        <w:rPr>
          <w:rFonts w:ascii="宋体" w:hAnsi="宋体" w:cs="宋体"/>
          <w:color w:val="auto"/>
          <w:sz w:val="21"/>
          <w:szCs w:val="21"/>
        </w:rPr>
      </w:pPr>
      <w:r>
        <w:rPr>
          <w:rFonts w:hint="eastAsia" w:ascii="宋体" w:hAnsi="宋体" w:cs="宋体"/>
          <w:color w:val="auto"/>
          <w:sz w:val="21"/>
          <w:szCs w:val="21"/>
        </w:rPr>
        <w:t>　　十、本规定自发布之日起执行，原国家经贸委、原国家计委、财政部和国家统计局2003年颁布的《中小企业标准暂行规定》同时废止。</w:t>
      </w:r>
    </w:p>
    <w:p>
      <w:pPr>
        <w:rPr>
          <w:rFonts w:ascii="宋体" w:hAnsi="宋体" w:cs="宋体"/>
          <w:color w:val="auto"/>
          <w:sz w:val="21"/>
          <w:szCs w:val="21"/>
        </w:rPr>
      </w:pPr>
      <w:r>
        <w:rPr>
          <w:rFonts w:hint="eastAsia" w:ascii="宋体" w:hAnsi="宋体" w:cs="宋体"/>
          <w:color w:val="auto"/>
          <w:sz w:val="21"/>
          <w:szCs w:val="21"/>
        </w:rPr>
        <w:br w:type="page"/>
      </w:r>
    </w:p>
    <w:p>
      <w:pPr>
        <w:snapToGrid w:val="0"/>
        <w:spacing w:before="156" w:beforeLines="50" w:after="156" w:afterLines="50" w:line="312" w:lineRule="auto"/>
        <w:jc w:val="center"/>
        <w:outlineLvl w:val="0"/>
        <w:rPr>
          <w:rFonts w:ascii="宋体" w:hAnsi="宋体" w:cs="宋体"/>
          <w:color w:val="auto"/>
          <w:sz w:val="32"/>
          <w:szCs w:val="24"/>
        </w:rPr>
      </w:pPr>
      <w:bookmarkStart w:id="154" w:name="_Toc11629"/>
      <w:r>
        <w:rPr>
          <w:rFonts w:hint="eastAsia" w:ascii="宋体" w:hAnsi="宋体" w:cs="宋体"/>
          <w:b/>
          <w:bCs/>
          <w:color w:val="auto"/>
          <w:sz w:val="32"/>
          <w:szCs w:val="32"/>
        </w:rPr>
        <w:t>第四章 合同文本</w:t>
      </w:r>
      <w:bookmarkEnd w:id="154"/>
    </w:p>
    <w:p>
      <w:pPr>
        <w:spacing w:line="312" w:lineRule="auto"/>
        <w:ind w:firstLine="420" w:firstLineChars="200"/>
        <w:rPr>
          <w:rFonts w:ascii="宋体" w:hAnsi="宋体" w:cs="宋体"/>
          <w:color w:val="auto"/>
          <w:sz w:val="21"/>
          <w:szCs w:val="21"/>
        </w:rPr>
      </w:pPr>
    </w:p>
    <w:p>
      <w:pPr>
        <w:spacing w:line="312" w:lineRule="auto"/>
        <w:jc w:val="center"/>
        <w:rPr>
          <w:rFonts w:ascii="宋体" w:hAnsi="宋体" w:cs="宋体"/>
          <w:color w:val="auto"/>
          <w:sz w:val="22"/>
          <w:szCs w:val="16"/>
        </w:rPr>
      </w:pPr>
      <w:r>
        <w:rPr>
          <w:rFonts w:hint="eastAsia" w:ascii="宋体" w:hAnsi="宋体" w:cs="宋体"/>
          <w:color w:val="auto"/>
          <w:sz w:val="22"/>
          <w:szCs w:val="16"/>
        </w:rPr>
        <w:t>参照《建设工程施工合同（示范文本）》（GF-2017-0201）</w:t>
      </w:r>
    </w:p>
    <w:p>
      <w:pPr>
        <w:spacing w:line="312" w:lineRule="auto"/>
        <w:rPr>
          <w:rFonts w:ascii="宋体" w:hAnsi="宋体" w:cs="宋体"/>
          <w:b/>
          <w:bCs/>
          <w:color w:val="auto"/>
          <w:sz w:val="32"/>
          <w:szCs w:val="18"/>
        </w:rPr>
      </w:pPr>
    </w:p>
    <w:p>
      <w:pPr>
        <w:pStyle w:val="48"/>
        <w:rPr>
          <w:color w:val="auto"/>
        </w:rPr>
      </w:pPr>
    </w:p>
    <w:p>
      <w:pPr>
        <w:spacing w:before="156" w:beforeLines="50" w:after="156" w:afterLines="50" w:line="312" w:lineRule="auto"/>
        <w:ind w:right="420"/>
        <w:rPr>
          <w:rFonts w:ascii="宋体"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br w:type="page"/>
      </w:r>
    </w:p>
    <w:bookmarkEnd w:id="94"/>
    <w:bookmarkEnd w:id="95"/>
    <w:p>
      <w:pPr>
        <w:pStyle w:val="5"/>
        <w:spacing w:line="312" w:lineRule="auto"/>
        <w:rPr>
          <w:rFonts w:cs="宋体"/>
          <w:b w:val="0"/>
          <w:color w:val="auto"/>
          <w:szCs w:val="32"/>
        </w:rPr>
      </w:pPr>
      <w:bookmarkStart w:id="155" w:name="_Toc1333"/>
      <w:bookmarkStart w:id="156" w:name="_Toc246996340"/>
      <w:bookmarkStart w:id="157" w:name="_Toc152042554"/>
      <w:bookmarkStart w:id="158" w:name="_Toc179632789"/>
      <w:bookmarkStart w:id="159" w:name="_Toc247085855"/>
      <w:bookmarkStart w:id="160" w:name="_Toc144974834"/>
      <w:bookmarkStart w:id="161" w:name="_Toc246997083"/>
      <w:bookmarkStart w:id="162" w:name="_Toc152045772"/>
      <w:bookmarkStart w:id="163" w:name="_Toc28365"/>
      <w:bookmarkStart w:id="164" w:name="_Toc12789058"/>
      <w:bookmarkStart w:id="165" w:name="_Toc31807_WPSOffice_Level1"/>
      <w:r>
        <w:rPr>
          <w:rFonts w:hint="eastAsia" w:cs="宋体"/>
          <w:bCs/>
          <w:color w:val="auto"/>
          <w:szCs w:val="32"/>
        </w:rPr>
        <w:t>第五章  工程量清单</w:t>
      </w:r>
      <w:bookmarkEnd w:id="155"/>
      <w:bookmarkEnd w:id="156"/>
      <w:bookmarkEnd w:id="157"/>
      <w:bookmarkEnd w:id="158"/>
      <w:bookmarkEnd w:id="159"/>
      <w:bookmarkEnd w:id="160"/>
      <w:bookmarkEnd w:id="161"/>
      <w:bookmarkEnd w:id="162"/>
      <w:bookmarkEnd w:id="163"/>
    </w:p>
    <w:p>
      <w:pPr>
        <w:topLinePunct/>
        <w:spacing w:line="312" w:lineRule="auto"/>
        <w:jc w:val="center"/>
        <w:rPr>
          <w:rFonts w:ascii="宋体" w:hAnsi="宋体" w:cs="宋体"/>
          <w:bCs/>
          <w:color w:val="auto"/>
          <w:szCs w:val="28"/>
        </w:rPr>
      </w:pPr>
      <w:r>
        <w:rPr>
          <w:rFonts w:hint="eastAsia" w:ascii="宋体" w:hAnsi="宋体" w:cs="宋体"/>
          <w:bCs/>
          <w:color w:val="auto"/>
          <w:szCs w:val="28"/>
        </w:rPr>
        <w:t>（另附）</w:t>
      </w: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pStyle w:val="5"/>
        <w:spacing w:line="312" w:lineRule="auto"/>
        <w:rPr>
          <w:rFonts w:cs="宋体"/>
          <w:b w:val="0"/>
          <w:color w:val="auto"/>
        </w:rPr>
      </w:pPr>
      <w:r>
        <w:rPr>
          <w:rFonts w:hint="eastAsia" w:cs="宋体"/>
          <w:b w:val="0"/>
          <w:color w:val="auto"/>
        </w:rPr>
        <w:br w:type="page"/>
      </w:r>
      <w:bookmarkStart w:id="166" w:name="_Toc24295"/>
      <w:bookmarkStart w:id="167" w:name="_Toc6160"/>
      <w:r>
        <w:rPr>
          <w:rFonts w:hint="eastAsia" w:cs="宋体"/>
          <w:bCs/>
          <w:color w:val="auto"/>
          <w:szCs w:val="32"/>
        </w:rPr>
        <w:t>第六章 图纸</w:t>
      </w:r>
      <w:bookmarkEnd w:id="166"/>
      <w:bookmarkEnd w:id="167"/>
    </w:p>
    <w:p>
      <w:pPr>
        <w:topLinePunct/>
        <w:spacing w:line="312" w:lineRule="auto"/>
        <w:jc w:val="center"/>
        <w:rPr>
          <w:rFonts w:ascii="宋体" w:hAnsi="宋体" w:cs="宋体"/>
          <w:bCs/>
          <w:color w:val="auto"/>
          <w:szCs w:val="28"/>
        </w:rPr>
      </w:pPr>
      <w:r>
        <w:rPr>
          <w:rFonts w:hint="eastAsia" w:ascii="宋体" w:hAnsi="宋体" w:cs="宋体"/>
          <w:bCs/>
          <w:color w:val="auto"/>
          <w:szCs w:val="28"/>
        </w:rPr>
        <w:t>（另附）</w:t>
      </w:r>
    </w:p>
    <w:p>
      <w:pPr>
        <w:rPr>
          <w:rFonts w:ascii="宋体" w:hAnsi="宋体" w:cs="宋体"/>
          <w:b/>
          <w:bCs/>
          <w:color w:val="auto"/>
          <w:sz w:val="32"/>
          <w:szCs w:val="18"/>
        </w:rPr>
      </w:pPr>
    </w:p>
    <w:p>
      <w:pPr>
        <w:rPr>
          <w:rFonts w:ascii="宋体" w:hAnsi="宋体" w:cs="宋体"/>
          <w:b/>
          <w:bCs/>
          <w:color w:val="auto"/>
          <w:sz w:val="32"/>
          <w:szCs w:val="18"/>
        </w:rPr>
      </w:pPr>
      <w:r>
        <w:rPr>
          <w:rFonts w:hint="eastAsia" w:ascii="宋体" w:hAnsi="宋体" w:cs="宋体"/>
          <w:b/>
          <w:bCs/>
          <w:color w:val="auto"/>
          <w:sz w:val="32"/>
          <w:szCs w:val="18"/>
        </w:rPr>
        <w:br w:type="page"/>
      </w:r>
    </w:p>
    <w:bookmarkEnd w:id="164"/>
    <w:bookmarkEnd w:id="165"/>
    <w:p>
      <w:pPr>
        <w:snapToGrid w:val="0"/>
        <w:spacing w:before="156" w:beforeLines="50" w:after="156" w:afterLines="50" w:line="312" w:lineRule="auto"/>
        <w:jc w:val="center"/>
        <w:outlineLvl w:val="0"/>
        <w:rPr>
          <w:rFonts w:ascii="宋体" w:hAnsi="宋体" w:cs="宋体"/>
          <w:b/>
          <w:bCs/>
          <w:color w:val="auto"/>
          <w:sz w:val="32"/>
          <w:szCs w:val="32"/>
        </w:rPr>
      </w:pPr>
      <w:bookmarkStart w:id="168" w:name="_Toc5655"/>
      <w:bookmarkStart w:id="169" w:name="_Toc3514_WPSOffice_Level1"/>
      <w:bookmarkStart w:id="170" w:name="_Toc12789072"/>
      <w:bookmarkStart w:id="171" w:name="_Toc382374852"/>
      <w:r>
        <w:rPr>
          <w:rFonts w:hint="eastAsia" w:ascii="宋体" w:hAnsi="宋体" w:cs="宋体"/>
          <w:b/>
          <w:bCs/>
          <w:color w:val="auto"/>
          <w:sz w:val="32"/>
          <w:szCs w:val="32"/>
        </w:rPr>
        <w:t>第七章 磋商项目需求</w:t>
      </w:r>
      <w:bookmarkEnd w:id="168"/>
    </w:p>
    <w:p>
      <w:pPr>
        <w:keepNext w:val="0"/>
        <w:keepLines w:val="0"/>
        <w:pageBreakBefore w:val="0"/>
        <w:kinsoku/>
        <w:wordWrap/>
        <w:overflowPunct/>
        <w:topLinePunct w:val="0"/>
        <w:autoSpaceDE/>
        <w:autoSpaceDN/>
        <w:bidi w:val="0"/>
        <w:adjustRightInd/>
        <w:snapToGrid/>
        <w:spacing w:line="300" w:lineRule="auto"/>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rPr>
        <w:t>技术标准和要求</w:t>
      </w:r>
      <w:r>
        <w:rPr>
          <w:rFonts w:hint="eastAsia" w:ascii="宋体" w:hAnsi="宋体" w:eastAsia="宋体" w:cs="宋体"/>
          <w:b/>
          <w:color w:val="auto"/>
          <w:sz w:val="21"/>
          <w:szCs w:val="21"/>
        </w:rPr>
        <w:t xml:space="preserve">   </w:t>
      </w:r>
    </w:p>
    <w:p>
      <w:pPr>
        <w:keepNext w:val="0"/>
        <w:keepLines w:val="0"/>
        <w:pageBreakBefore w:val="0"/>
        <w:kinsoku/>
        <w:wordWrap/>
        <w:overflowPunct/>
        <w:topLinePunct w:val="0"/>
        <w:autoSpaceDE/>
        <w:autoSpaceDN/>
        <w:bidi w:val="0"/>
        <w:adjustRightInd/>
        <w:snapToGrid/>
        <w:spacing w:line="300" w:lineRule="auto"/>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(一)总体要求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1.工程施工应符合GB50300—2013《建筑工程施工质量验收统一标准》和GB50210—2018《建筑装饰装修工程质量验收标准》及GB50325－2010《民用建筑工程室内环境污染控制规范》。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2.所有材料进场前应有出厂证明和验收合格证，经甲方确认后方可使用。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3.所用材料规格应符合国家标准，地板、装饰门、涂料、乳胶漆及复合类板材等环保性能优良。</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所有施工使用材料选用品牌须符合《2022年修缮工程主材选材》表中的品牌（如不能满足施工需要可征得甲方同意后更换同档次及以上品牌）；《2022年修缮工程主材选材》表中未体现的材料须选用材料品牌中等及偏上档次产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经过采购人确认后的所有施工使用材料品牌须选用该品牌中的中等及偏上档次产品。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5.其他未尽事宜根据现场实际情况确定。所有施工内容必须按施工工艺标准操作、施工质量符合现行施工质量验收规范、质量验收标准规定。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6.所有未尽事项和工程量清单中未含的辅助项目，均由供应商自行考虑计价并计入其它项目中，工程结算时不另行计算。</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7.供应商全权负责与行业管理部门的一切施工手续，所需费用报价时自行考虑；部分材料需进行环保检测并要符合国家及地方政府有关规定，具体按照甲方确定的检测项目实施。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8.安全施工要求：施工单位在施工中对安全保障全权负责，由于事故造成后果及费用均由施工单位自行承担。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疫情防控施工要求：施工单位在施工中对疫情防控保障自行负责，由此造成的后果及费用均由施工单位自行承担，疫情防控费用报价中自行考虑费用，结算不再增加，施工期间施工单位无条件服从建设单位及管理单位的防控要求及防控措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文明施工要求：成交供应商与建设单位签定施工合同及工程施工开工任务单后方能进场施工，施工现场场地、水、电等费用由施工方自理，施工方在校园内施工过程中要保护好原有建筑及绿化设施，保持环境卫生，垃圾要及时运到采购人指定地点，所有施工涉及区域内卫生要进行彻底打扫，严格按照省市政府行业管理部门有关文明施工的规定执行，真正做到文明施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(二)屋面防水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1.工程施工应符合GB50345－2012《屋面工程技术规范》和GB50207－2012《屋面工程质量验收规范》的相关规定标准。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屋面采用改性沥青SBS卷材防水，SBS卷材要求材料4㎜厚、国标、砂质面层；自粘聚合物改性沥青防水卷材3mm厚，国标。材料应有产品合格证书和性能检测报告，品种、规格、性能等必须符合国家现行产品标准和设计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(三)室内吊棚工艺及技术要求：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1.工艺流程 弹顶棚标高水平线→划龙骨分档线→安装主龙骨吊筋→安装主龙骨→安装饰面板。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2.吊顶安装应牢固，表面平整，不得有脱层、折裂、缺楞、掉角、锤痕、污染以及图案缺损等缺陷。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3.主龙骨应平直，次龙骨连接处应无明显错位。</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4.木质吊杆、木龙骨应无贯穿裂缝和变形，应进行防火处理。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5.吊顶中的预埋件、钢吊筋等应进行防腐处理，在嵌装灯具等物体的位置应有加固处理，吊顶在垂直固定，吊杆不得采用木榫固定。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6.吊顶应采用螺钉连接，钉帽应进行防锈处理。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7.顶角线应表面光滑，线条顺直，不漏钉帽，无刨痕和锤痕。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8.石膏板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放射性限量：内照射指数≤1.0；外照射指数≤1.3</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尺寸偏差：长度-6～0mm；宽度-5～0mm；对角线长度差不大于5mm.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面密度：板厚12mm,面密度12kg/m2</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硬度：不小于70 N</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材料燃烧性能等级：A级，其它指标必须达到《纸面石膏板》GB/T9775-2008及《民用建筑工程室内环境污染控制规范》GB50325-2010的相关要求。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9.矿棉板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体积密度不大于380kg/m³</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燃烧性能不得低于制造商声称的燃烧性能分级，且应不低于GB8624-2012中规定的B1级要求。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矿棉板厚度不应小于9mm，降噪系数不小于0.75，受潮挠度应不大于1.0mm，质量含湿率应不大于1.0%。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甲醛释放量应达到GB18580中规定的E1级要求，甲醛释放量应不大于0.124mg/m³。</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(四)室内地面铺装工艺及技术要求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1.地面贴砖</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块料尺寸按甲方选择要求确定，尺寸符合设计要求，边角整齐、光滑；允许偏差：表面平整度2㎜；缝格平直3㎜；接缝高低0.5㎜；踢脚线上口平直3㎜；板块间隙宽度2㎜。厚度10mm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面层与基层结合必须牢固，无空鼓现象。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吸水率小于等于0.5%，边直度和直角度小于等于0.2%，强度平均值不小于1300N,断裂模数平均值不小于35mpa，光泽度不低于55,静摩擦系数单块值大于等于0.5，抗热震性、抗釉裂性、抗冻性满足规范要求。采用全瓷抛釉瓷砖。</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2.抗静电地板：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①导电性能： 表面电阻 106— 109；体电阻率 107— 1010欧姆/厘米</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耐烟火性能：不小于1600 ℃，耐磨性： 0.1g/1000转，耐极冷极热性：15℃－105℃，经10次急冷热循环不出现明显裂纹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抗弯曲强度：平均值不小于27Mpa，翘曲度： ±0.5%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②地板规格： 600×600×10mm   吸水厚度膨胀率低于10%的地板。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③防静电活动地板的防火等级，应符合《建筑内部装修设计防火规范》的要求。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④防静电活动地板的高度应根据使用要求而定。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⑤地板安装完后一定要进行接地处理，否则起不到防静电作用。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⑥平放防静电地板后，其承载能力应达到均匀载荷大于1000kg/m2，防静电地板上任何部位的集中载荷应大于300kg，在直径为6cm的加载点上承重 300kg的载荷时，挠曲量应小于2mm，并无永久性变形。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可调支撑应能承受1000kg以上的垂直负荷，且板面应有一定的耐磨擦性。电性能主要是系统电阻、表面电阻。其系统电阻应为106Ω-109Ω，在温度为21±1.5℃，相对湿度为30%时，防静电地板的静电电压应低于2500V，表面电阻值应为106Ω-109Ω。</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⑧防静电地板受环境影响收缩量应小于0.5mm，板面的挠曲量应小于0.25mm。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⑨防静电地板表面应不反光、不打滑、耐腐蚀、不起尘、不吸尘、易于清扫。</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3.实木复合地板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①地板含水率：3.0~10.0，厚度为12mm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②表面耐香烟灼烧：无黑斑，裂纹和鼓泡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③表面耐划痕：4.0%表面装饰花纹未划破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④甲醛释放量mg/L：E1级：≤1.5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⑤</w:t>
      </w:r>
      <w:r>
        <w:rPr>
          <w:rFonts w:hint="eastAsia" w:ascii="宋体" w:hAnsi="宋体" w:eastAsia="宋体" w:cs="宋体"/>
          <w:color w:val="auto"/>
          <w:sz w:val="21"/>
          <w:szCs w:val="21"/>
          <w:lang w:val="zh-CN"/>
        </w:rPr>
        <w:t>基层面要求干净、平整、干燥，2米靠尺检查平整度不大于3mm/2m。有凹凸处用铲刀铲平或水泥砂浆修补；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⑥</w:t>
      </w:r>
      <w:r>
        <w:rPr>
          <w:rFonts w:hint="eastAsia" w:ascii="宋体" w:hAnsi="宋体" w:eastAsia="宋体" w:cs="宋体"/>
          <w:color w:val="auto"/>
          <w:sz w:val="21"/>
          <w:szCs w:val="21"/>
          <w:lang w:val="zh-CN"/>
        </w:rPr>
        <w:t>地板铺设遇门槛石、地砖、门槛石与其直撞，为防止地板松动，用枪钉从母槽打入，与地面木条固定；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⑦</w:t>
      </w:r>
      <w:r>
        <w:rPr>
          <w:rFonts w:hint="eastAsia" w:ascii="宋体" w:hAnsi="宋体" w:eastAsia="宋体" w:cs="宋体"/>
          <w:color w:val="auto"/>
          <w:sz w:val="21"/>
          <w:szCs w:val="21"/>
          <w:lang w:val="zh-CN"/>
        </w:rPr>
        <w:t>地板铺设时，自左向右或自右向左逐排依次铺装，铺装方向由近主要门口一侧开始，凹槽向墙，地板采购及安装与墙之间放入木楔，留足伸缩缝，伸缩缝宽度应为6mm-8mm范围以内；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w:t>
      </w:r>
      <w:r>
        <w:rPr>
          <w:rFonts w:hint="eastAsia" w:ascii="宋体" w:hAnsi="宋体" w:eastAsia="宋体" w:cs="宋体"/>
          <w:color w:val="auto"/>
          <w:sz w:val="21"/>
          <w:szCs w:val="21"/>
          <w:lang w:val="zh-CN"/>
        </w:rPr>
        <w:t>铺装完的地板，应在隔24小时后，胶水实际干后拔掉四周木锲子。地板与墙脚间有一圈6-8mm的伸缩缝，不允许用东西填塞，应用踢脚板遮盖。踢脚线板被固定在墙上而不是粘在地板上。地板的某些部位边口暴露(如在门口边)，应该用专用压条保护边口，压条内也留1.5CM与边口的间隔；</w:t>
      </w:r>
    </w:p>
    <w:p>
      <w:pPr>
        <w:keepNext w:val="0"/>
        <w:keepLines w:val="0"/>
        <w:pageBreakBefore w:val="0"/>
        <w:kinsoku/>
        <w:wordWrap/>
        <w:overflowPunct/>
        <w:topLinePunct w:val="0"/>
        <w:autoSpaceDE/>
        <w:autoSpaceDN/>
        <w:bidi w:val="0"/>
        <w:adjustRightInd/>
        <w:snapToGrid/>
        <w:spacing w:line="300" w:lineRule="auto"/>
        <w:ind w:left="560" w:left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(五)室内墙面安装工艺及技术要求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块料尺寸按甲方选择要求确定，尺寸符合设计要求，边角整齐、光滑；允许偏差：表面平整度2㎜；缝格平直3㎜；接缝高低0.5㎜；踢脚线上口平直3㎜；板块间隙宽度2㎜。</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面层与基层结合必须牢固，无空鼓现象。</w:t>
      </w:r>
    </w:p>
    <w:p>
      <w:pPr>
        <w:keepNext w:val="0"/>
        <w:keepLines w:val="0"/>
        <w:pageBreakBefore w:val="0"/>
        <w:kinsoku/>
        <w:wordWrap/>
        <w:overflowPunct/>
        <w:topLinePunct w:val="0"/>
        <w:autoSpaceDE/>
        <w:autoSpaceDN/>
        <w:bidi w:val="0"/>
        <w:adjustRightInd/>
        <w:snapToGrid/>
        <w:spacing w:line="300" w:lineRule="auto"/>
        <w:ind w:left="560" w:left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2.不锈钢墙面;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①根据设计要求,检查所用材料的品种、规格和数量。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②对墙面的基体,应按国家有关规定验收及处理。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③龙骨在储运和安装时,不得扔摔,碰撞，防止变形。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④面板在储运和安装时,应轻拿轻放,不得损坏板材的表面和边角,运输时应采取描施,防止变形。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⑤龙骨和面板均应按品种、规格分类搁置堆放室内,堆放场地应平然,干燥、通风良好,防止重压、受潮、变形。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⑥对安装完的面板进行成品保护。</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基层处理→弹线→预埋铁件→安装竖向龙骨→镶接横向龙骨→防绣处理→隐蔽验收→加工不锈纲面板,安装不锈钢面板→调整→封板缝→清理；</w:t>
      </w:r>
    </w:p>
    <w:p>
      <w:pPr>
        <w:keepNext w:val="0"/>
        <w:keepLines w:val="0"/>
        <w:pageBreakBefore w:val="0"/>
        <w:kinsoku/>
        <w:wordWrap/>
        <w:overflowPunct/>
        <w:topLinePunct w:val="0"/>
        <w:autoSpaceDE/>
        <w:autoSpaceDN/>
        <w:bidi w:val="0"/>
        <w:adjustRightInd/>
        <w:snapToGrid/>
        <w:spacing w:line="300" w:lineRule="auto"/>
        <w:ind w:left="560" w:left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3.木饰面墙面：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①应预先挑选,分出不同材料,色泽或按深浅颜色顺序待用。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②应注意拼接时两板间色差一致,板背面应做卸力槽,以防板面变形。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③钉固铁钉应予先砸扁、备用,铁钉长度应符合板厚要求。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④将木饰面板固定在龙骨上或基层板上,钉距一般为100mm,要求布钉均匀,钉头应打入板内0.5-1mm。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⑤采用拼花板时,对板面花纹应认真挑选,且花纹组合后,纹理应对应协调。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⑥板与板间拼贴时,板边要直、里角要虚,外角要硬。</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⑦龙骨与基层板及饰面板必须符合设计要求，饰面板底层结构要安装牢固、可靠，饰面板要镶贴精细、贴面平整、收口正确，表面不得有污染、拆裂、缺棱掉角等缺陷。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⑧饰面板允许偏差:平整度 2mm/2m、垂直度 2mm/2m、收口平直3mm/5me.</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⑨施工程序：基层处理→弹线→排版→安装及调整骨架→隐蔽验收→基层板(或专用挂件)安装→安装木饰面板→收口线条处理。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4.吸音板墙面：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环保性能国标E1级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防火性能国标A级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所有材料要有产品合格证，气品种、型号、尺寸及其他技术性能要求满足设计及施工规范要求；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吸音板不得受潮、翘曲变形、内部吸音棉填塞不实及玻璃丝面表面不平、褶皱等；吸音板表面平整、整洁。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①材料质量以甲方封样为准。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②所有材料要有产品合格证，其品种、型号、尺寸及其它技术性能要求满足设计及施工规范要求。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③吸音板不得受潮、翘曲变形、内部吸音棉填塞不实及玻璃丝面表面不平、皱折等。</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④吸音板表面平整、洁净、错缝及表面高低不平在允许范围内。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⑤施工程序：基层处理→弹线→排版→安装及调整骨架→填充吸音棉→基层板(或专用挂件)安装→安装吸音板→细部处理→验收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5.壁纸墙面：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①壁纸的种类、规格、图案、颜色和燃烧性能等级必须符合设计要求及国家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现行的有关规定。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②被糊工程基层处理质量应符合要求。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③裱糊后各幅拼接应平整、横平竖直,色泽应一致,拼接处花纹、图案应吻合,不离缝,不搭接,不显拼缝，不得有波纹起伏、气泡、裂缝、皱折及污斑,斜视时应无胶痕。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④壁纸应粘贴牢固,不得有漏贴、补贴、脱层、空鼓和翘边。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⑤复合压花壁纸的压痕及发泡壁纸的发泡层应无损伤。</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⑥壁纸与各种装饰线、设备线盒应交接严密。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⑦壁纸边缘应平直整齐,不得有纸毛、飞刺。</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⑧壁纸阴角处搭接应顺光,阳角处应无接缝。</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⑨施工程序：基层处理→满贴玻璃纤维网格布→批刮耐水腻子一遍刮平→防裂腻子一遍找平→涂刷墙纸基膜线→涂刷专用粘贴剂→裱糊壁纸→清理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(六)卫生间防水工艺及技术要求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1.防水施工宜用于涂膜防水材料。</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2.防水材料性能应符合国家现行有关标准的规定，并应有产品合格证书。</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3.基层表面应平整，不得有空鼓、起砂、开裂等缺陷。基层含水率应符合防水材料的施工要求。防水层应从地面延伸到墙面。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4.防水水泥砂浆找平层与基础结合密实，无空鼓，表面平整光洁、无裂缝、起砂，阴阳角做成圆弧形。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5.涂膜防水层涂刷均匀，厚度满足产品技术规定的要求，一般厚度不少于1.5mm不露底。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6.使用施工接茬应顺流水方向搭接，搭接宽度不小于100mm，使用两层以上玻纤布上下搭接时应错开幅宽的二分之一。</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7.涂膜表面不起泡、不流淌、平整无凹凸，与管件、洁具地脚、地漏、排水口接缝严密收头圆滑不渗漏。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8.保护层水泥砂浆厚度、强度必须符合设计要求，操作时严禁破坏防水层，根据设计要求做好地面泛水坡度，排水要畅通、不得有0积水倒坡现象。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9.施工程序：基层处理→找平层→细部附加层→第一遍防水→第一遍蓄水试验→第二遍防水→第二遍蓄水试验→成品保护</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(七)外墙保温及涂料工艺及技术要求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1.保温材料均采用A级防火的100mm岩棉复合板，容重为150kg/m³,耐温性800度,吸湿性&gt;200%,氧指数为0，导热系数为0.04~0.055(w/mk);</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2.耐碱玻纤网格要求≥160g/㎡，质量标准应符合JC/T841—99；</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3.基层应平整、坚实、牢固，不得有凸凹、浮灰等；</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4.外墙腻子应符合《建筑用外墙腻子》(JG/T157—2016)的普通型腻子和柔性腻子的技术标准要求；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5.保温板锚固钉进入墙体持力层不小于25㎜；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施工程序①剔除松动、起鼓外墙瓷砖或水泥砂浆面层②水泥砂浆(掺108建筑胶)找平③清理整体墙面④刷保温板胶粘剂结合层(保温板厂家配套产品)⑤点框式粘贴100㎜厚A级防火保温板(锚栓每平方米不小于8个)，粘贴面积不小于80%⑥保温板整体粘贴完毕后，抹1.5㎜厚聚合物胶浆砂浆(保温板厂家配套产品)，上贴耐碱玻纤网格布(两布三涂)⑦批刮柔性耐水腻子两道⑧滚涂底漆一道，中层漆一道，面漆两道；</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7.岩棉复合板间缝隙应控制在1.5mm以内，接缝处高差应控制在1mm以内，如果岩棉复合板接缝宽度超过1.5mm，则用适当宽度的岩棉板条将缝塞满，板条不得粘接。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8.为了杜绝产生冷热桥，岩棉复合板的侧边不得涂抹粘接剂，沾到侧边的砂浆应立即刮除，做到无碰头灰。</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(八)室内供热、给排水系统改造</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1.工程施工应符合GB50242－2019《建筑给水排水及采暖工程施工质量验收规范》、GB50300－2013《建筑工程施工质量验收统一标准》的相关规定标准。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2.工程所有材料应有产品合格证，散热器及PPR管应有产品质保证书，排水管采用耐腐蚀双螺旋静音U-PVC管、给水及供热PPR管及管件；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3.地沟及天棚供水主干管采用国标镀锌钢管，DN≥40电焊接连接，DN&lt;40螺纹连接；PPR采用热熔连接；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4.散热器采用钢二柱超防腐烯合金钢散热器，标准散热量在△T=64.5℃，散热量≥106，供会水中心距500mm，全高568，散热器管材施工现场实测壁厚≥2.0mm，宽度108mm,长度60mm，工作压力1.0-1.5MPa；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5.楼内进户阀门采用优质铸钢闸阀，所有铜质闸阀选用埃美柯、联塑、力牌或同档次其他品牌产品，安装位置正确，连接牢固，启闭灵活，朝向便于操作；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6．管道支架及立支管管卡安装间距满足施工规范要求，构造正确，埋设平整牢固，排列整齐；</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7.天棚供水管道安装坡度不小于0.3%；</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8.地沟管道采用棉塑质管壳保温；防火等级为A级不燃防火等级；导热系数≥0.033w/㎡·k；撕裂强度≥13N/cm；湿阻因子≥20000；真空吸水率≤3%；</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9.供热系统安装完毕进行0.8Mpa水压试验，10分钟压力降不超过0.02Mpa为合格(如有特殊情况下适当调整压力值标准)；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(九)电气系统改造</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1.严格按国家《建筑工程质量管理条例》执行，应符合国家GB50303-2015《建筑电气工程施工质量验收规范》；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2.开关触点采用稀土合金，以解决LED类负载造成的频繁烧开关触点问题；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3.五孔插座建议选用错位式设计，以避免两个大插头同时使用时插座的互相干扰安排问题；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4.面板开关采用整体覆盖式，风格简约大方；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5.地插面板材质为铜制；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6.网络机柜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1)应具有良好的技术性能。机柜应具有抗振动、抗冲击、耐腐蚀、防尘、防水、防辐射等性能，以便保证设备稳定可靠地工作；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2)应具有良好的使用性和安全防护设施，便于操作、安装和维修，并能保证操作者安全；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3)应便于生产、组装、调试和包装运输；</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4)应合乎标准化、规格化、系列化的要求；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5)造型美观、适用、色彩协调；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7.配电箱(柜)采用国标，厚度(壁挂≥1.5mm、落地≥2.0mm)；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8.网线进机柜预留2米长度的网线，接好水晶头，打标签备用，符合甲方相关部门要求。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9.建设单位只针对散热器片及塑钢窗和防盗门进行物资回收，拆除后的电线、电缆建设单位不予回收，以其残值抵电线、电缆拆除的施工费。</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10.桥架采用国标，电缆桥架宽150mm，国标厚度应达到1.0mm；电缆桥架总宽200mm，国标厚度应达到1.2mm。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(十)金属塑钢窗安装：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塑钢窗表面应洁净、平整、光滑，大面应无划痕和碰伤；窗扇密封条不得脱槽，旋转间隙应基本均匀；排水孔通畅，位置和数量应符合设计要求；主材及配件材料应符合清单项目特征描述规定要求。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窗框、副框和扇的安装必须牢固，固定片式膨胀螺栓的数量与位置正确，连接方式应符合设计要求。固定点应距窗角、中横框、中竖框150—200mm，固定点间距应不小于600mm。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拼樘料内衬增加型钢的规格、壁厚必须符合设计要求，型钢应与型材内腔紧密吻合，其两端必须与洞口固定牢固，窗框必须与拼樘材料连接紧密，固定点间距应不大于600mm。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窗户侧墙面均做20厚1：2.5水泥砂浆内掺5%防水剂做防潮层处理(拐角延伸100mm，分层抹灰)、未特殊标注墙体砌筑高度均为通顶，窗框与墙体间缝隙应采用水泥砂浆抹平后在用闭孔弹性材料填嵌饱满，表面应采用密封胶密封，密封胶应粘接牢固，表面应光滑、顺直、无裂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2.质量要求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PVC门窗型材可视面(非可视面)的最小实测壁厚在平开门窗时应不小于2.5mm(2.0mm)。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边框及中挺选用封闭方钢管热浸镀锌增强型钢衬，边框的热浸镀锌增强型钢衬施工现场实测厚度不小于1.5mm，中挺的热浸镀锌增强型钢衬施工现场实测厚度不小于1.5mm，扇采用U型热浸镀锌增强型钢衬，施工现场实测厚度不小于1.5mm，钢衬与内壁间隙不大于1mm，框、扇钢衬45度角切割。增强型钢符合《JG/T131-2000塑料门窗增强型钢》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塑料门窗质量应符合国家现行标准《未增塑聚氯乙烯(PVC-U塑料门)JG/T180》、《未增塑聚氯乙烯(PVC-U塑料门)JG/T140》的有关规定。门窗产品应有出厂合格证。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塑钢门窗中空玻璃除应符合现行国家标准《中空玻璃》GB/11944的有关规定外，尚应符合下列规定：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一是中空玻璃用的间隔条可采用连续折弯型或插脚型且内含干燥剂的铝框，也可使用热压复合式胶条；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二是用间隔铝框制备的中空玻璃应采用双道密封，第一道密封必须采用热熔型丁基密封胶。第二道密封应采用硅酮、聚硫类中空玻璃密封胶，并应采用打胶机进行混合、打胶。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安装塑钢门窗用固定片应符合国家现行标准《聚氯乙烯(PVC)门窗固定片》JG/T132的有关规定。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钢门窗用密封条等原材料应符合国家现行标准的有关规定。密封胶应符合国家现行标准《硅酮建筑密封胶》GB/T14683、《建筑窗用弹性密封剂》JC485及《混凝土建筑接缝用密封胶》JC/T881的有关规定。密封胶与聚氯乙烯型材应具有良好的粘接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门窗安装用聚氨酯发泡胶应符合国家现行标准《单组分聚氨酯泡沫填缝剂》JC936的有关规定；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与聚氯乙烯型材直接接触的五金件、紧固件、密封条、玻璃垫块、密封胶等材料应与聚氯乙烯塑料相容。</w:t>
      </w:r>
    </w:p>
    <w:p>
      <w:pPr>
        <w:keepNext w:val="0"/>
        <w:keepLines w:val="0"/>
        <w:pageBreakBefore w:val="0"/>
        <w:numPr>
          <w:ilvl w:val="0"/>
          <w:numId w:val="8"/>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金属塑钢窗分格样式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金属塑钢窗颜色为外咖色内白色，金属塑钢窗选定样式应提前提供样品，并征得甲方书面认可。</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(十一)压型彩钢板屋面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1.GB/T 12755-2008 建筑用压型彩钢板。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2.GB 6723-2008 通用冷弯</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"https://www.baidu.com/s?wd=%E5%BC%80%E5%8F%A3%E5%9E%8B&amp;tn=SE_PcZhidaonwhc_ngpagmjz&amp;rsv_dl=gh_pc_zhidao" \t "https://zhidao.baidu.com/question/_blank"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开口型</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钢结构尺寸、外形、重量及允许偏差。</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3.GB 50018-2016 冷弯薄壁型钢结构技术规范。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4.GB 50205-2018 钢结构工程施工质量验收规范。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5.JC868-2000：</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"https://www.baidu.com/s?wd=%E3%80%8A%E9%87%91%E5%B1%9E%E9%9D%A2%E7%A1%AC%E8%B4%A8%E8%81%9A%E6%B0%A8%E9%85%AF%E5%A4%B9%E8%8A%AF%E6%9D%BF%E3%80%8B&amp;tn=SE_PcZhidaonwhc_ngpagmjz&amp;rsv_dl=gh_pc_zhidao" \t "https://zhidao.baidu.com/question/_blank"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《金属面聚苯乙烯夹芯板》</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聚苯乙烯夹芯板执行标准。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6.彩色涂层钢板应符合GB/ T12754的规定，基板必须热镀锌，锌层双面质量不得小于180g/m2。聚苯乙烯泡沫塑料板应符合GB10801的规定，体积密度不小于18kg/m3，导热系数不大于0.041W/(m·K)，阻燃型(ZR)，氧指数不小于30%。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(十二)塑胶跑道</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1.跑道原材料(基础底漆、粘结胶、跑道加强层材料、跑道面层材料)有害物质限量须满足 GB 36246-2018《中小学合成材料面层运动场地》标准要求，并同时提供具有“CMA”资质检测机构出具的符合 GB 36246-2018《中小学合成材料面层运动场地》检测报告；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2.预制型聚氨酯弹性垫材有害物质限量须满足 GB 36246-2018《中小学合成材料面层运动场地》标准要求，并同时提供具有“CMA”资质检测机构出具的符合 GB36246-2018《中小学合成材料面层运动场地》检测报告；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3.跑道成品有害物质限量物理以及老化性能须满足 GB 36246-2018《中小学合成材料面层运动场地》标准要求，并同时提供具有""CMA""资质检测机构出具的符合 GB 36246-2018《中小学合成材料面层运动场地》检测报告；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4.提供预制型跑道面层成品的抗寒性测试数据，在&lt;-5℃放置≥300h 后，要求物理性能符合以下技术要求，提供具有“CMA”资质的检测机构出具的符合 GB36246-2018、GB/T22517.6-2020 测试合格报告；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5.跑道面层材料耐污性能强，接触汽油、咖啡、尿液、茶渍、石灰浆、碳酸饮料(例如可乐、雪碧等)、深色墨水、建筑涂料用灰水、蜡笔、液体鞋油 24h 后，使用清水或者酒精刷洗，清洗后，面漆表层轻微影响(污渍很容易通过温和的洗涤剂去除)或无影响，提供测试数据报告；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6.跑道材料耐紫外线色变，在经过模拟人工气候紫外线曝露≧1000h，色差在老化前后的评级均达到 4 级或以上，提供具有“CMA”资质的检测机构出具的依据GB/T23987-2009 测试报告；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7.预制型跑道材料耐冻融，在 25℃水中浸泡 24h 后，放入-25℃温度下保持 24h，取出放入 25℃保持 24h，重复循环 20 次后，拉伸强度、拉断伸长率、撕裂强度依然符合 GB36246-2018、GB/T22517.6-2020、GBT 14833-2020 标准，并提供具有""CMA""资质的检测机构出具的测试合格报告。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8.为保证跑道环保性能，投标人所投的跑道产品需提供GB 36246-2018执行标准的渗水型有害物质限量、含量、气味、无机填料含量全项一体报告【无机填料≤25％】；为保证跑道物理性能，投标人所投的跑道产品需提供GB 36246-2018执行标准的渗水型物理性能报告【拉伸强度≥1.4MPa】；为保证跑道耐老化性能，投标人所投的跑道产品需提供GB 36246-2018执行标准的渗水型耐老化性能报告。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9.塑胶生产企业具备国家权威部门出具的2020年以来粒符合GB36246-2018标准对固体原料全项一体检测报告(且高聚物总量≥50%)；为保证合成面层的环保性能，投标人所投的颗粒需提供甲醛、二硫化碳的单体报告【二硫化碳未检出】。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10.为保证合成面层的环保性能，投标人所投的聚氨酯浆料需提供GB 36246-2018执行标准的有害物质含量报告；为保证合成面层的环保性能，投标人所投的聚氨酯胶水需提供GB36246-2018执行标准的有害物质含量报告；需确保完工后无毒无味，并出具第三方检测报告，检测费用由施工单位自行承担，建设单位不再另行支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11.为保证合成面层的环保性能，投标人所投的聚氨酯胶水需提供满足174项高危关注物(SVHC)测试报告。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(十三)道路工程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1.技术要求： 本次招标应符合国家GB50300-2013《建筑工程施工质量验收统一标准》、《沥青路面施工及验收规范》GB50092-96和GB50209-2010《建筑地面工程施工质量验收规范》及国家强制性条文的要求，符合吉林省建设厅制定的验收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2.材料应按设计要求并应有出厂合格证明文件、规格、型号及性能的检测报告。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(十四)消防工程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符合《消防给水及消火栓系统技术规范》GB50974－2014 、《自动喷水灭火系统设计规范》GB 50084—2017、《建筑防烟排烟系统技术标准》GB51251-2017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(1)管材接口：消火栓给水埋地管材采用钢丝网骨架塑料复合管，热熔连接，承压1.6MPa。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(2)阀门：生活给水及消防给水阀门采用铸钢法兰阀门，承压1.6 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(3)管道敷设和连接：管道与检查井的连接，应符合规程要求，并确保安全，牢固、不漏水。消防外网管道均在室外直埋，埋设深度在设计地面下2.2m，室外消火栓布置距路边不大于2m。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(4)阀门井和检查井：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本工程全部排水检查井均砖砌检查井。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单侧或双侧有接入管：给水阀门井采用收口式阀门井；各种阀门井、检查井、消火栓井、水泵接合器井、水表井等均按国标图集中有防地下水型进行施工。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(5)管槽回填土：</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全部管道均应试压，试水和防腐合格后，方可进行回填土施工。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从管底基础至管顶上部 500mm以内，必须用人工回填，严禁用掘土机回填。管顶500mm以上用机械回填土时，应从管轴线两次均匀进行，并夯实、碾压。沟槽内的回填土应分层夯实。管道接口处的回填土应仔细夯实，不得扰动管道的接口。</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(6)给排水构筑物：</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给水及消防阀门分段阀门井做法见S143/17-7图集，阀门井采用保温井盖。室外消火栓型号参见国家标准图集13S201-32,地下消火栓井的直径不小于1.5m,消火栓栓口管径为DN100/DN65。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地下式消火栓应有明显的永久性标志</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在车行道上的所有检查井、阀门井盖、井座均采用重型球墨铸铁双层井座和井盖，人行道下和绿化带的井盖、井座采用轻型球墨铸铁单层井座、井盖。</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在路面上的井盖，上表面应同路面相平，无路面井盖应高出室外地面标高50mm，并应在井口周围以0.2的坡度向外做护坡。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管网最高点设放气井, 低点设泄水阀门井.主要分支设阀门井。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(7)管道试压和试水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外给水管道试压应按《建筑给排水管道工程施工及验收规范》(GB50268-97)第10.2.10条及第10.2.13条的规定进行、消防给水管道试验压力为1.5倍的工作压力,且消防管道试验压力不小于1.4MPa，试验压力下观测10分钟压力降不应大于0.02MPa，然后降至工作压力进行检查应不渗不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室外排水管道的试水要求，应按《埋地聚乙烯排水管道技术规程》CECS164-2004中的附录D闭水法试验的规定进行。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给水管道试压合格交付使用前，应按《建筑给排水管道工程施工及验收规范》(GB50141-2008)第10.4.1条及10.4.4条的要求，对管道进行冲洗消毒。</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所有标准符合图纸的设计要求及国家规范要求。</w:t>
      </w:r>
      <w:bookmarkStart w:id="172" w:name="_Toc2888"/>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火灾报警控制器、烟感等</w:t>
      </w:r>
      <w:r>
        <w:rPr>
          <w:rFonts w:hint="eastAsia" w:ascii="宋体" w:hAnsi="宋体" w:eastAsia="宋体" w:cs="宋体"/>
          <w:color w:val="auto"/>
          <w:sz w:val="21"/>
          <w:szCs w:val="21"/>
        </w:rPr>
        <w:t>设备需与原有配套设备使用，完工后需实现与现有设备和控制系统的联网和正常使用。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(十五)PVC塑胶地板铺装</w:t>
      </w:r>
      <w:bookmarkEnd w:id="172"/>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1.防火等级达到B1级，防滑性能优良；总厚度3.0mm，耐磨层厚度≥0.3mm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2.产品环保，无污染，无毒，耐酸碱腐蚀，需要经过IS09000国际质量体系认证以及ISO14001国际绿色环保认证。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3.产品需提供生产工厂营业执照及原产地证明，不接受贴牌产品，需提供检测报告、产品质量合格证。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耐磨等级T级；平均重量≤2750g/m2；产品环保，需符合ISO14389:2014标准；不含邻苯二甲酸二酯(DOP/DEHP)。GB18586-2001标准有害物质限量：地板聚氯乙烯层中氯乙烯单体含量不应大于5mg/kg，地板中不含可溶性铅、可溶性镉、甲醛、苯；TVOC有机物28天后检测挥发限量&lt;10μg/立方米；PVC 卷材的燃烧性能必须达到GB 8624-2012标准B1(B-s1,t0)级；防滑性能≥R9；色牢度≥6；永久免打蜡保养维护；防碘酒、血迹可擦洗型(2天以上)、抗菌、防火、耐磨；静电负荷＜2kV。</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5.PVC塑胶地板专用技术要求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选择“实验室专用”多层复合抗化学PVC地板防火型号，耐磨防酸碱，具体参数如下：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总厚度2.0mm，耐磨层厚度≥0.3mm，产品为密实背地，产品需具有氟合金抗化学层；耐磨等级T级(EN660-2)；产品提供高危物质REACH SVHC198项检测报告；产品提供AgBB挥发性有机化合物28天检测报告，其中总挥发有机化合物≤100微克/立方米；产品提供国标GB18580不含甲醛检测报告，产品达到不含甲醛；产品提供DIN51130防油滑测试，达到R9，并提供检测报告；产品提供抗菌防霉美标ASTM G21检测报告，产品达到0级；产品提供国际标准ISO105 B02:2013色牢度检测报告，色牢度≥6；产品提供国标GB8624-2012防火检测报告，防火等级B1级；不含邻苯二甲酸盐类增塑剂，并提供检测报告；产品需提供EN423：2001检测报告，根据EN423:2001检测标准，20种强腐蚀渗透性化学试剂对产品无影响(化学试剂需包含：45%以上氢氧化钠、25%以上过氧化钠、95%以上硫酸、1.5%以上碘酊、碘酒)；品牌工厂需具备质量体系认证ISO9001、环保体系认证ISO18001、职业健康体系认证OHSAS18001，产品工厂需为国家安总局颁发的二级安全生产企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(十六)乳胶漆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选用涂料应符合《环境标志产品技术要求水性涂料》(HJ2537-2014)及《合成树脂乳液外墙涂料》(GB/T9756-2009)的技术要求，底涂层应符合《建筑内外墙用底漆》(JG/T210—2018)技术要求。实验室选用实验室专用防水防酸碱专用涂料。</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2.面漆要求：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容器中状态：无硬块，搅拌后呈均匀状态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施工性：刷涂二道无障碍</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低温稳定性(3次循环)：不变质。(不结块，无组成物分层，无凝聚)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涂膜外观：正常。(无开裂，无明显针孔，无气泡)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干燥时间(表干)/h:≤2</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对比率(白色和浅色)：≥0.95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耐碱性(24h)：无异常</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3.GB 18582-2008内墙涂料有害物质限量：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国标：产品中的挥发性有机物(VOC)含量应≤120g/L；</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本次选用涂料要求：检测结果：未检出(VOC＜2g/L.)</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国标：苯、甲苯、乙苯、二甲苯总和≤300mg/kg;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本次选用涂料要求：检测结果：未检出(总和＜50mg/kg).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国标：游离甲醛≤100mg/kg；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本次选用涂料要求：检测结果：未检出(游离甲醛＜5mg/kg).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国标：可溶性重金属：铅≤90mg/kg、镉≤75mg/kg、铬≤60mg/kg、汞≤60mg/kg；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(十七)实木复合门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采用优质木材，选用木材含水率6%－13%之间，采用E1级中密度纤维板；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甲醛释放量&lt;1.5mg/L；外观无污斑；</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门扇边框采用实木板组框，门芯采用桥洞力学板填充，表面材料为天然实木木皮；</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采用优质的PU环保漆，油漆硬度高，耐磨性强，耐黄变；采用有事胶粘剂环保要求；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合页采用优质不锈钢抛光，保证耐高温，耐磨，启闭灵活，无噪音；门把手、螺钉和锁具等五金件应采用优质品牌，保证耐高温、耐磨；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防撞条采用优质PVC材料，黏贴牢固，不开裂；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符合GB/T29498-2013的技术要求；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门页及门框运输安装过程中必须有防潮、防碰、防晒保护措施；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教室门玻璃为8mm安全玻璃。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(十八)钢质防火门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要求门扇材质≧1.0mm，门框材质≧1.5mm。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防火隔热等级按甲、乙、丙分为1.5h、1.0h、0.5h。</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防火门和配套的五金需要提供消防部门提供的3C证书和检测报告。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防火门框、门扇面板应采用性能不低于冷轧薄钢板的钢质材料，冷轧薄钢板应符合GB/T708的规定。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防火门所用加固件可采用性能不低于热轧钢材的钢质材料，热轧钢材应符合GB/T709的规定。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门扇内部填充材料应为防火材料，门框与门扇之间，双开门的门扇之间应设防火膨胀条。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(十九)卫生洁具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龙头性能：冷水水压0.4Mpa保持60秒无渗漏(龙头最终样式包括颈长最终形式现场选样确认，费用需在报价中统一考虑，不另行调整)；连接件性能：1.6Mpa保持60秒无渗漏，不发生泄漏、变形、破损现象。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手盆：洁具表面应光滑、弧度圆滑、均匀、光泽度好、防沾污、易清洁、长久不变色；手盆最终样式包括不限于尺寸、形状上台盆或下台盆等形式现场选样确认，费用需在报价中统一考虑，不另行调整。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蹲便器：表面应光滑、弧度圆滑、均匀、光泽度好、防沾污、易清洁、长久不变色；蹲便器最终样式包括出水方向现场选样确认，费用需在报价中统一考虑，不另行调整。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(二十)卫生间集成吊顶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1.重量轻、钢性好、强度高，施工现场实测壁厚不小于0.7mm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2.耐久性和耐腐蚀性好；工艺性好，采用先加工后喷漆工艺；</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3.涂层均匀、色彩多样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4.不易玷污，便于清洁保养，使表面很难附着污染物，更具有良好向洁性。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5.龙骨选用轻钢龙骨，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(二十一)冲孔铝扣板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规格：600*600，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面涂层采用三涂二烤工艺，涂层性能符合YS/T429.2-2000,AAMA605.2-1998标准，三涂涂层干膜厚≥40μm,涂层硬度≥1H,附着力达到0级；防火等级为A级不燃烧材质；强度等级为3003铝锰合金；采用不低于国际铝业协会AA3000系列等级铝合金；具有良好的刚度和抗腐蚀性；各项技术指标符合国标GB/T3190-1996或GB3880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(二十二)肯德基门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1.门的宽度，高度和开门方向</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按照铝合金门执行标准：GB/T8478-2020标准生产：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(1).对开门双扇门门框外形标准尺寸为(宽*高*厚度)：按现场实际测量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(2).所有门体开门方向为单向开启，即只能向屋外的方向推门，才可开启门扇，符合消防法及相关的消防设施的标准要求。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2.门框选用的材质，品牌，厚度等规格</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(1).型材材质：全部型材采用铝合金材质，合金状态：6063-T5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(2).型材厚度：门框壁厚为3mm。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3.门扇玻璃选用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(1).门扇玻璃规格为：</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双扇门玻璃厚度：6mm+12mm+6mm钢化玻璃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4.闭门器选用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(1).产品特性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齿条闭门器，闭门力级EN3/4可调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设置恒温装置，闭门速度在各种环境温度下保持恒定。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闭门速度两段可调，闭锁速度可调。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锁扣摇臂设计，方便设定开启和自动状态。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5.型材壁厚：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(1).门扇边框部分的型材壁厚在3mm，门扇中挺型材壁厚3mm。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(2).固定门扇的屏风型材边框，中挺型材壁厚为3mm。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(3).门扇的玻璃压线型材壁厚为2mm，屏风型材压线壁厚为2mm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6.门把手及五金部件品牌。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(1).门把手：专用特制门把手，具体现场选定。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(2).门轴部分：采用合金材料制作，实心轴体设计，专用配套产品。能够调节门体的各个方向的间隙。</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(3).门体门锁和插销部分：采用高强度合金铝，产品为铝合金门五金配件合格产品。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7.门体安装方式：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(1).门体和玻璃连接方式：使用铝合金压线配合胶条固定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(2).门框与墙体部分连接：使用高强度尼龙膨胀螺栓固定，边缝用银灰色玻璃胶密封。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(3).门框和屏风之间连接：使用高强度铝合金自功丝固定。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(二十三)轻钢龙骨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外观质量要平整，棱角清晰，切口不允许有影响使用的毛刺和变形；镀锌层不许有起皮、脱落等缺陷；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对于腐蚀、损伤、黑斑、麻点等缺陷，按照规定方法检测时应符合相关规定；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轻钢龙骨表面应镀锌防锈，其双面镀锌量优等品不小于120g/m*m。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轻钢龙骨热镀锌原材料，施工现场实测厚度不能低于0.6mm。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(二十四)铝矿棉复合板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1.铝板厚度1.0mm。内复合高密度、高吸音性8mm矿棉板。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2.后面用铝箔纸封底，铝箔纸具有防水防火功能，使矿棉板和外界环境隔开。具有良好的耐潮性 防霉性 无粉尘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3.矿棉板和铝板通过有机胶并给与一定压力紧密结合在一起，具有优越的抗变形能力，每块板子(600*600)可承受200N以上压力</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4.配合轨道龙骨，不用单独安装龙骨，另外可开启，不用安装检修口，建筑设备方便，同时可到达室内碰面的整体简单大方效果。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5.A级防火，达到国家标准GB8624.A级不燃，无毒。</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6.冲孔率15%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7.板型尺寸种类比较多，安装简单，完全避免室内铝单板安装困难，不便维修等等问题，同时还能达到铝单板美观 高档 抗老化 等特点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8.可开启，可擦拭</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9.环保节能无粉尘，具有良好隔热保温功能。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10.耐冲击性8N*M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(二十五)委托第三方检测机构对室内进行空气质量检测：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资质要求：需拥有室内环境检测项目实验室，且实验室检测仪器设备和技术人员应满足检测项目需要。检测实验室具备省级质量技术监督局颁发的《计量认证书》，即有CMA标志，同时必须具有独立法人资格。</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室内空气环境满足以下国家标准：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民用建筑工程室内环境污染控制规范GB50325-2010：</w:t>
      </w:r>
    </w:p>
    <w:tbl>
      <w:tblPr>
        <w:tblStyle w:val="58"/>
        <w:tblW w:w="7604" w:type="dxa"/>
        <w:jc w:val="center"/>
        <w:tblLayout w:type="fixed"/>
        <w:tblCellMar>
          <w:top w:w="0" w:type="dxa"/>
          <w:left w:w="0" w:type="dxa"/>
          <w:bottom w:w="0" w:type="dxa"/>
          <w:right w:w="0" w:type="dxa"/>
        </w:tblCellMar>
      </w:tblPr>
      <w:tblGrid>
        <w:gridCol w:w="4164"/>
        <w:gridCol w:w="3440"/>
      </w:tblGrid>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污染物</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Ⅱ类民用建筑工程</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氡(Bq/m3)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甲醛(mg/m3)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≤0.10</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苯(mg/m3)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≤0.09</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氨(mg/m3)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≤0.20</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TVOC(mg/m3)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≤0.60</w:t>
            </w:r>
          </w:p>
        </w:tc>
      </w:tr>
    </w:tbl>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检测时间：应在工程装修完成至少7天以后进行检测。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检测方法：严格依照《民用建筑工程室内环境污染控制规范GB50325-2010》中所列检测方法执行。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验收条件：检测机构的检测手段需满足规范要求，并出具完整准确的带有CMA章的检测报告，检测结果合格方可组织验收，检测费用由施工单位自行承担，建设单位不再另行支付。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(二十六)二次供水设备</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1.次供水设备的技术特点及要求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二次供水供水设备需具备但不限于以下条件：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(1)设备满足国家或行业现行的相关标准和供水要求；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(2)省级卫生局核发的供水设备卫生许可批件；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(3)省级疾病预防控制中心的检测报告；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(4)电气控制柜整机通过国家强制性3C认证；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(5)具有节能、节水产品认证证书；</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2.二次供水设备需具备但不限于以下技术特点及要求：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(1).设备根据客户要求可采用手动启动、自动、远程操作启动等启动方式，或者几种方式的组合，工作电压为 380V。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(2).无负压功能：</w:t>
      </w:r>
      <w:bookmarkStart w:id="173" w:name="_Hlk51759852"/>
      <w:r>
        <w:rPr>
          <w:rFonts w:hint="eastAsia" w:ascii="宋体" w:hAnsi="宋体" w:eastAsia="宋体" w:cs="宋体"/>
          <w:color w:val="auto"/>
          <w:sz w:val="21"/>
          <w:szCs w:val="21"/>
        </w:rPr>
        <w:t>设备应具有对市政管网压力不产生负压功能，并提供第三方机构出具的检测报</w:t>
      </w:r>
      <w:bookmarkEnd w:id="173"/>
      <w:r>
        <w:rPr>
          <w:rFonts w:hint="eastAsia" w:ascii="宋体" w:hAnsi="宋体" w:eastAsia="宋体" w:cs="宋体"/>
          <w:color w:val="auto"/>
          <w:sz w:val="21"/>
          <w:szCs w:val="21"/>
        </w:rPr>
        <w:t>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(3).设备在市政管网压力低于允许压力时能自动停机保护，并具有报警功能，水压恢复后应能自动启动。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(4).常规自动保护功能：具有对过压、欠压、过流、过载、缺相等故障进行报警及自动保护，对可恢复的故障应能自动、手动控制消除，恢复正常运行。具备报警记忆功能，故障报警应及时准确。</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设备泵组轮换功能：设备运行时，工作泵与备用泵应能够自动交替轮换运行。当任一台工作水泵发生故障时,备用水泵应能自动投入运行。工作泵与备用泵能定时轮换运行，自动切换、自动巡检。水泵切换时间与设定时间的偏差不应超过±30s，并能够先启先停。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(6).小流量停泵保压功能：当用水量低于设备额定供水流量1%时设备自动停泵由气压罐优先补偿，气压罐不能满足需求时，水泵再次启动运行。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(7).全密闭补偿功能：设备整体在全密闭的基础上，高压罐体中的水能够补充市政供水管网不足的量。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(8).节能功能：设备具有利用市政来水压力，小流量保压能力、补偿功能等节能措施。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(9).压力误差控制：设备应具备自动恒压供水功能，恒压供水时压力控制误差不应超过±0.01MPa。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(10).设备应具有连续运行功能：设备在额定供水流量和扬程的条件下，连续运转不少于12小时后，各部件不应产生影响正常运行的故障，且水泵运转无异常现象。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(11).设备应具有超压保护功能：当设备供水压力超过设定超压压力时，设备可自动停止运行并报警，超压消除后可自动恢复正常运行。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3.二次供水设备需具备的功能要求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(1)双</w:t>
      </w:r>
      <w:r>
        <w:rPr>
          <w:rFonts w:hint="eastAsia" w:ascii="宋体" w:hAnsi="宋体" w:eastAsia="宋体" w:cs="宋体"/>
          <w:color w:val="auto"/>
          <w:sz w:val="21"/>
          <w:szCs w:val="21"/>
          <w:lang w:eastAsia="zh-Hans"/>
        </w:rPr>
        <w:t>罐式无负压供水</w:t>
      </w:r>
      <w:r>
        <w:rPr>
          <w:rFonts w:hint="eastAsia" w:ascii="宋体" w:hAnsi="宋体" w:eastAsia="宋体" w:cs="宋体"/>
          <w:color w:val="auto"/>
          <w:sz w:val="21"/>
          <w:szCs w:val="21"/>
        </w:rPr>
        <w:t>设备功能要求：具有无负压功能、差量补偿、供水过程全密闭和小流量保压功能：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(2)应在用水高峰时对管网不产生负压，不得影响市政直接供水区的水压，阐述明确且提供相应证明材料。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(3)应具备差量补偿功能，当市政管网供水不足时，仍能满足加压区用户用水的需求，阐述明确且提供相应证明材料。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(4)在运行工况下应为密闭状态，不得与大气相通，阐述明确且提供相应证明材料。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(5)应具备小流量保压功能，可在不启动主泵的情况下满足小流量供水，阐述明确且提供相应证明材料。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4.智联变频</w:t>
      </w:r>
      <w:r>
        <w:rPr>
          <w:rFonts w:hint="eastAsia" w:ascii="宋体" w:hAnsi="宋体" w:eastAsia="宋体" w:cs="宋体"/>
          <w:color w:val="auto"/>
          <w:sz w:val="21"/>
          <w:szCs w:val="21"/>
          <w:lang w:eastAsia="zh-Hans"/>
        </w:rPr>
        <w:t>供水设备</w:t>
      </w:r>
      <w:r>
        <w:rPr>
          <w:rFonts w:hint="eastAsia" w:ascii="宋体" w:hAnsi="宋体" w:eastAsia="宋体" w:cs="宋体"/>
          <w:color w:val="auto"/>
          <w:sz w:val="21"/>
          <w:szCs w:val="21"/>
        </w:rPr>
        <w:t>功能要求：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Hans"/>
        </w:rPr>
        <w:t>增压功能：当供水管网压力下降趋向最低服务压力时，增压装置应按设备额定供水流量将密闭水箱中的水增压到与供水管网相同压力。</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Hans"/>
        </w:rPr>
        <w:t>定时循环功能：为避免密闭水箱到水长时间不使用，设备应具有定时自动从密闭水箱取水的功能。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Hans"/>
        </w:rPr>
        <w:t>防死水层功能：设备应具有防止产生死水、滞留层的功能。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Hans"/>
        </w:rPr>
        <w:t>变频控制系统：调节水泵的转速来保持管网压力恒定，在系统出水管路处检测到的压力小于水泵的启动压力时，能够自动调节水泵转速使出口压力恒定。</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Hans"/>
        </w:rPr>
        <w:t>恒压控制精度：设定压力与实际压力控制精度小于等于0.01MPa。</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5.设备具备接入</w:t>
      </w:r>
      <w:r>
        <w:rPr>
          <w:rFonts w:hint="eastAsia" w:ascii="宋体" w:hAnsi="宋体" w:eastAsia="宋体" w:cs="宋体"/>
          <w:color w:val="auto"/>
          <w:sz w:val="21"/>
          <w:szCs w:val="21"/>
          <w:lang w:eastAsia="zh-Hans"/>
        </w:rPr>
        <w:t>供水管理</w:t>
      </w:r>
      <w:r>
        <w:rPr>
          <w:rFonts w:hint="eastAsia" w:ascii="宋体" w:hAnsi="宋体" w:eastAsia="宋体" w:cs="宋体"/>
          <w:color w:val="auto"/>
          <w:sz w:val="21"/>
          <w:szCs w:val="21"/>
        </w:rPr>
        <w:t>平台的联网功能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(1)二次供水设备均应具有手动、自动和远程操作的启动、停止功能；能实现远程监测、监控、报警功能，并具备接入</w:t>
      </w:r>
      <w:r>
        <w:rPr>
          <w:rFonts w:hint="eastAsia" w:ascii="宋体" w:hAnsi="宋体" w:eastAsia="宋体" w:cs="宋体"/>
          <w:color w:val="auto"/>
          <w:sz w:val="21"/>
          <w:szCs w:val="21"/>
          <w:lang w:eastAsia="zh-Hans"/>
        </w:rPr>
        <w:t>供水管理</w:t>
      </w:r>
      <w:r>
        <w:rPr>
          <w:rFonts w:hint="eastAsia" w:ascii="宋体" w:hAnsi="宋体" w:eastAsia="宋体" w:cs="宋体"/>
          <w:color w:val="auto"/>
          <w:sz w:val="21"/>
          <w:szCs w:val="21"/>
        </w:rPr>
        <w:t>平台的联网功能。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Hans"/>
        </w:rPr>
        <w:t>其他功能</w:t>
      </w:r>
      <w:r>
        <w:rPr>
          <w:rFonts w:hint="eastAsia" w:ascii="宋体" w:hAnsi="宋体" w:eastAsia="宋体" w:cs="宋体"/>
          <w:color w:val="auto"/>
          <w:sz w:val="21"/>
          <w:szCs w:val="21"/>
        </w:rPr>
        <w:t>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(1)设备应具有过压、欠压、过流、过载、缺相、短路、过热等故障的自动保护功能，并对可恢复的故障应能进行消、恢复正常运行。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(5)设备应具有缺水保护，当高压罐体内水位至设定的低水位时，水泵应停止运行。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(3)设备正常运行时所产生的噪声，不应大于配套水泵机组的噪声。各配件及材料必须满足设备安全运行的相关规范要求；与水接触的部分要求采用SUS304或以上食品级不锈钢或优于不锈钢配置功能的设备。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7.管理软件要求</w:t>
      </w:r>
    </w:p>
    <w:tbl>
      <w:tblPr>
        <w:tblStyle w:val="58"/>
        <w:tblpPr w:leftFromText="180" w:rightFromText="180" w:vertAnchor="text" w:horzAnchor="page" w:tblpX="1045" w:tblpY="274"/>
        <w:tblOverlap w:val="never"/>
        <w:tblW w:w="9654" w:type="dxa"/>
        <w:tblInd w:w="0" w:type="dxa"/>
        <w:tblLayout w:type="fixed"/>
        <w:tblCellMar>
          <w:top w:w="0" w:type="dxa"/>
          <w:left w:w="0" w:type="dxa"/>
          <w:bottom w:w="0" w:type="dxa"/>
          <w:right w:w="0" w:type="dxa"/>
        </w:tblCellMar>
      </w:tblPr>
      <w:tblGrid>
        <w:gridCol w:w="687"/>
        <w:gridCol w:w="2126"/>
        <w:gridCol w:w="6841"/>
      </w:tblGrid>
      <w:tr>
        <w:tblPrEx>
          <w:tblCellMar>
            <w:top w:w="0" w:type="dxa"/>
            <w:left w:w="0" w:type="dxa"/>
            <w:bottom w:w="0" w:type="dxa"/>
            <w:right w:w="0" w:type="dxa"/>
          </w:tblCellMar>
        </w:tblPrEx>
        <w:trPr>
          <w:trHeight w:val="555"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服务项目</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tblPrEx>
          <w:tblCellMar>
            <w:top w:w="0" w:type="dxa"/>
            <w:left w:w="0" w:type="dxa"/>
            <w:bottom w:w="0" w:type="dxa"/>
            <w:right w:w="0" w:type="dxa"/>
          </w:tblCellMar>
        </w:tblPrEx>
        <w:trPr>
          <w:trHeight w:val="84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网络接入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+边缘计算</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根据现场实际情况选配网络接入和边缘计算软硬件设备以及调试；优先采用有线网络接入。</w:t>
            </w:r>
          </w:p>
        </w:tc>
      </w:tr>
      <w:tr>
        <w:tblPrEx>
          <w:tblCellMar>
            <w:top w:w="0" w:type="dxa"/>
            <w:left w:w="0" w:type="dxa"/>
            <w:bottom w:w="0" w:type="dxa"/>
            <w:right w:w="0" w:type="dxa"/>
          </w:tblCellMar>
        </w:tblPrEx>
        <w:trPr>
          <w:trHeight w:val="56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安防服务</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包含安防联动控制系统、视频、门禁、红外、温湿度、水淹、烟感、排风、排水等数据接入所需的软硬件设备以及调试。</w:t>
            </w:r>
          </w:p>
        </w:tc>
      </w:tr>
      <w:tr>
        <w:tblPrEx>
          <w:tblCellMar>
            <w:top w:w="0" w:type="dxa"/>
            <w:left w:w="0" w:type="dxa"/>
            <w:bottom w:w="0" w:type="dxa"/>
            <w:right w:w="0" w:type="dxa"/>
          </w:tblCellMar>
        </w:tblPrEx>
        <w:trPr>
          <w:trHeight w:val="56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能效管理服务</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包含DN150以下(含)流量计、双向电能表的软硬件以及调试；</w:t>
            </w:r>
          </w:p>
        </w:tc>
      </w:tr>
      <w:tr>
        <w:tblPrEx>
          <w:tblCellMar>
            <w:top w:w="0" w:type="dxa"/>
            <w:left w:w="0" w:type="dxa"/>
            <w:bottom w:w="0" w:type="dxa"/>
            <w:right w:w="0" w:type="dxa"/>
          </w:tblCellMar>
        </w:tblPrEx>
        <w:trPr>
          <w:trHeight w:val="93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水质管理服务</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包含五项参数水质分析(余氯、浊度、PH、电导率、温度)所需的软硬件设备以及调试；</w:t>
            </w:r>
          </w:p>
        </w:tc>
      </w:tr>
      <w:tr>
        <w:tblPrEx>
          <w:tblCellMar>
            <w:top w:w="0" w:type="dxa"/>
            <w:left w:w="0" w:type="dxa"/>
            <w:bottom w:w="0" w:type="dxa"/>
            <w:right w:w="0" w:type="dxa"/>
          </w:tblCellMar>
        </w:tblPrEx>
        <w:trPr>
          <w:trHeight w:val="28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967"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需提供配套二次供水管理软件</w:t>
            </w:r>
          </w:p>
        </w:tc>
      </w:tr>
      <w:tr>
        <w:tblPrEx>
          <w:tblCellMar>
            <w:top w:w="0" w:type="dxa"/>
            <w:left w:w="0" w:type="dxa"/>
            <w:bottom w:w="0" w:type="dxa"/>
            <w:right w:w="0" w:type="dxa"/>
          </w:tblCellMar>
        </w:tblPrEx>
        <w:trPr>
          <w:trHeight w:val="28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967"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具体技术参数及数量等要求详见招标清单；</w:t>
            </w:r>
          </w:p>
        </w:tc>
      </w:tr>
    </w:tbl>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（二十七）0.6/1kV交联聚乙烯绝缘钢带铠装聚氯乙烯护套电力电缆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导体采用优质无氧铜杆或电工用圆铝杆，拉制的圆形单线，其铜单线导电率不大于0.017241Ω·mm2/m，铝单线导电率不大于0.028264Ω·mm2/m；单线绞合成紧压导体性能、外观等应符合GB/T12706.2的规定，紧压系数不小于90%；</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2.标称绝缘厚度符合GB12706的要求，绝缘偏心度不大于10%；</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3.外护套厚度符合GB12706要求；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4.导体电阻GB/T3956的要求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5.两芯及以上电缆的绝缘线芯应按A、B、C顺向相序绞合成束。</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6.电缆的外径和结构尺寸、拉断力、导体电阻等机械、电气性能应符合GB/T12706.2标准要求；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7.成品电缆的表面应有制造厂名、型号、截面、电压的连续标志，一个标志的末端与下一个标志的始端之间的距离应不超过500mm。每隔1m应有连续的长度累加标识。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8.标志采用喷码印刷，耐擦性符合GB6995的规定；</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9.电缆须绕在线盘上，线盘要符合GB4005—1和GB4005—2的规定，线盘的盘心的直径应不小于12倍电缆外径。</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10.架空绝缘电缆的交货长度应不小于500m，允许长度不小于50m倍数的短段交货，但其数量应不超过交货总长度的10%，长度计量误差不超过－0.2%；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电缆的交货长度应不小于500m，允许长度不小于50m倍数的短段交货，但其数量应不超过交货总长度的10%，长度计量误差不超过±0.5%；在每一线盘电缆上应附有产品合格证。线盘上须标明：生产厂家、电缆型号、名称、规格、长度、重量、盘号、生产日期、产品技术规范（或标准）编号。</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电缆制造厂应有生产许可证，同时应满足本标准的要求组织生产，并提供国家电线电缆检测中心或国家电网公司电力设备质量检验测试中心或国际认可的电缆检测机构的检验报告，两年安全运行业绩，并提供运行单位开具的证明材料和联系电话。</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13.型式试验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厂家应提供按国标进行的同类电缆的型式试验报告，项目包括电气部分和非电气部分。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14.例行试验与指标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(1)导体直流电阻：20℃，Ω/ km</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(2)交流耐压试验：(3.5U0）3.5kV/5min</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15.抽样试验与指标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抽样试验每批订货至少要有1个试样。</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(1)交流耐压试验：3.5kV/5min。</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(2)击穿试验（裕度试验）：提供同类产品试验报告。</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(3)挤压热缩试验：收缩率不大于2％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(4)阻燃试验按IEC60332—3C要求或提供同类产品试验报告</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(5)电缆结构尺寸检查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(6)绝缘老化前的机械性能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(7)护套老化前的机械性能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(8)绝缘热延伸试验（200℃）</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16.质量保证和管理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卖方应保证其提供的设备及其附件是全新的，采用的是优质材料和先进工艺，均应符合合同规定的质量、规格和性能。卖方应保证设备及其组件经过正确安装、正确操作和保养，在其寿命内运行良好，卖方应承诺设备的寿命不小于30年。由于卖方设计、材料或工艺的原因造成的缺陷和故障，在合理的期限内卖方应免费修理或更换有缺陷的零部件或整机。</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(2)合同设备的质保期为现场验收合格投入运行后起算；</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(3)在质保期内的质量问题，卖方应负责免费尽快更换，并赔偿相应损失。</w:t>
      </w:r>
    </w:p>
    <w:p>
      <w:pPr>
        <w:keepNext w:val="0"/>
        <w:keepLines w:val="0"/>
        <w:pageBreakBefore w:val="0"/>
        <w:widowControl/>
        <w:kinsoku/>
        <w:wordWrap/>
        <w:overflowPunct/>
        <w:topLinePunct w:val="0"/>
        <w:autoSpaceDE/>
        <w:autoSpaceDN/>
        <w:bidi w:val="0"/>
        <w:adjustRightInd/>
        <w:snapToGrid/>
        <w:spacing w:line="300"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(4)卖方应对合同设备生产的全过程严格按质量保证体系执行。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(5)卖方应指定负责本工程的项目经理，负责协调卖方在工程全过程的各项工作，如：工程进度、设计制造、图纸文件、制造确认、包装运输、现场安装、调试验收等。</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17.技术服务、设计联络</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(1)技术服务</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卖方应派出合格的有经验的技术人员对合同设备的安装、调试和现场试验等进行技术服务、指导。并对安装的正确性负责。</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(2)设备的安装时间和条件由买方根据现场施工的实际工作进展确定,并提前通知和商得卖方同意。</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(3)卖方的技术人员应对买方人员详细的解释技术文件、图纸、运行和维护等方面的有关问题，解答和解决买方在合同范围内提出的问题。卖方的技术人员有义务在现场对运行和维护人员进行培训。</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18.设计联络</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(1)根据工程需要可以召开设计联络会或采用其他方式解决设计及制造中的问题。</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(2)设计联络会应有记录。</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(3)卖方提供的设备及附件的规格、数量有变化时，应及时书面提供给买方。</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19.在卖方工厂的检验、监造</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(1)在设备制造过程中，买方有权派员到卖方对设备进行检验、监造和参加卖方的工厂试验，卖方应积极配合。</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(2)在检验、监造过程中，如发现任何不符合本规范书要求时，卖方都必须及时更换，由此引起的任何费用都应由卖方承担。</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(3)卖方应在工厂试验前15日，通知买方。买方将通知卖方并派员参加卖方的工厂试验.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(4)若买方不派员参加卖方的工厂试验，卖方应在收到买方和技术监督部门的通知后，或买方未按时派员参加的情况下，自行组织试验。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20.包装、运输和贮存</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(1)电缆应妥善包装在符合GB4005规定要求的电缆盘上交货。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电缆端头应可靠密封，伸出盘外的电缆端头应钉保护罩，伸出的长度应不小于300mm。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重量不超过80kg的短段电缆，允许成圈包装。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(2)成盘电缆的电缆盘外侧及成圈电缆的附加标签应标明：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制造厂名或商标；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电缆型号及规格；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长度：m；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毛重：kg；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制造日期：年 月；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表示电缆盘正确旋转方向的符号；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标准编号。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(3)运输和保管：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电缆应避免在露天存放，电缆盘不允许平放；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运输中严禁从高处扔下装有电缆的电缆盘，严禁机械损伤电缆；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吊装包装件时，严禁几盘同时吊装。在车辆、船舶等运输工具上，电缆盘必须放稳，并用合适方法固定，防止互撞或翻倒。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74" w:name="_Toc222317642"/>
      <w:bookmarkStart w:id="175" w:name="_Toc165125328"/>
      <w:bookmarkStart w:id="176" w:name="_Toc156016642"/>
      <w:bookmarkStart w:id="177" w:name="_Toc466453800"/>
      <w:bookmarkStart w:id="178" w:name="_Toc459436609"/>
      <w:bookmarkStart w:id="179" w:name="_Toc466454018"/>
      <w:bookmarkStart w:id="180" w:name="_Toc482678582"/>
      <w:bookmarkStart w:id="181" w:name="_Toc466453618"/>
      <w:bookmarkStart w:id="182" w:name="_Toc454159843"/>
      <w:bookmarkStart w:id="183" w:name="_Toc452523861"/>
      <w:bookmarkStart w:id="184" w:name="_Toc222317630"/>
      <w:bookmarkStart w:id="185" w:name="_Toc156016631"/>
      <w:bookmarkStart w:id="186" w:name="_Toc222305187"/>
      <w:bookmarkStart w:id="187" w:name="_Toc165125317"/>
      <w:r>
        <w:rPr>
          <w:rFonts w:hint="eastAsia" w:ascii="宋体" w:hAnsi="宋体" w:eastAsia="宋体" w:cs="宋体"/>
          <w:color w:val="auto"/>
          <w:sz w:val="21"/>
          <w:szCs w:val="21"/>
        </w:rPr>
        <w:t>(二十八)电缆环网柜（箱）及配套设备技术参数</w:t>
      </w:r>
      <w:bookmarkEnd w:id="174"/>
      <w:bookmarkEnd w:id="175"/>
      <w:bookmarkEnd w:id="176"/>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电缆环网柜（箱）技术参数见技术规范专用部分的技术参数响应表。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环网开关主要技术参数见技术规范专用部分的技术参数响应表。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高压电缆插头主要技术参数见技术规范专用部分的技术参数响应表。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88" w:name="_Toc165125329"/>
      <w:bookmarkStart w:id="189" w:name="_Toc156016643"/>
      <w:bookmarkStart w:id="190" w:name="_Toc222317643"/>
      <w:r>
        <w:rPr>
          <w:rFonts w:hint="eastAsia" w:ascii="宋体" w:hAnsi="宋体" w:eastAsia="宋体" w:cs="宋体"/>
          <w:color w:val="auto"/>
          <w:sz w:val="21"/>
          <w:szCs w:val="21"/>
        </w:rPr>
        <w:t>1</w:t>
      </w:r>
      <w:bookmarkEnd w:id="188"/>
      <w:bookmarkEnd w:id="189"/>
      <w:bookmarkEnd w:id="190"/>
      <w:r>
        <w:rPr>
          <w:rFonts w:hint="eastAsia" w:ascii="宋体" w:hAnsi="宋体" w:eastAsia="宋体" w:cs="宋体"/>
          <w:color w:val="auto"/>
          <w:sz w:val="21"/>
          <w:szCs w:val="21"/>
        </w:rPr>
        <w:t>.开关性能要求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(1)开关整体选用合资或进口的全绝缘全密封SF6开关柜，品牌选用Schneider-RM6（AREVA-FBX）；ABB-SAFE；</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"http://www.siemens-ha.com.cn/"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Siemens</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-8DJ20 ；Iberica-IA；Smart等同档次系列产品。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(2）开关使用寿命不少于30年。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(3)开关进出线侧均配置带电显示器，并具有二次核相功能。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SF6开关应能保证气体年泄露率低于0.1%/年。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 开关带有SF6气压表，当压力不足时有明显指示。</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(6)负荷开关＋熔断器组合电器带有熔断自动脱扣装置，任意一相熔断时，三相同时跳闸，防止缺相运行，熔断器采用弹簧撞针类产品。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(7)开关柜满足“五防”要求。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(8)进线单元应装有避雷器，进、出线双根电缆采用热备用运行。开关柜进、出线电缆室应满足安装双根电缆的深度。</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2.箱体技术要求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(1)外壳材料采用敷铝锌板，厚度不小于2.5mm，并涂敷防腐、防日光的防护层。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箱体外涂敷防腐、防日光的防护层（耐腐蚀、抗冲击、耐日光照射及温度变化不老化、不脱落），表漆保证3年内不脱落，箱体内层不喷涂，箱体防护层颜色的选取原则上为RD33灰色032G20LT，特殊情况可根据业主要求确定。箱体四面按照国标喷涂警告标志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箱体应有安全可靠的防护性能，防护等级不低于IP33，能满足户外全天候运行，即能防止直径大于2.5mm的固体异物进入壳内、能防止与垂直成60度范围的淋水的影响。箱体内无裸露导体；每侧箱门外应至少设置一处明显国家标准的警告标志“电力符号”及文字“止步，高压危险”。每侧箱门外右上角喷涂“报修电话：95598”，应明显易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(4)箱壳应有足够的机械强度，薄弱位置（如箱门）应增加加强筋，在起吊、运输、安装中不得变形或损伤，应有方便钩挂的吊装装置。应留有方便直埋电缆进出的高低压电缆孔。</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箱顶盖应SMC材质高强度材料，应有不小于5%的坡度。箱门应密封防水，应设置不易被碰坏、侵害的凹陷形式专用锁，型号为FS889；配置电力仪表箱专用铜质挂锁（通用钥匙）；箱体外（不含基础）无外露可拆卸的螺栓，基础防水台阶距地面高度不低于15mm。</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对箱体内设备（电气及电子）应有防止箱顶凝露水珠滴落等威胁安全运行的措施。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箱式开关站本体，箱门及其所有元件的金属外壳与接地回路连接（箱变门应做6mm2软铜线与箱体连接），箱体应设置专用的接地导体，应分别设有不少于4处（一侧2处）与地线系统相连接的端子，并有明显的接地标志，接地端子所用螺栓直径应不小于M16，铜导体接地截面不小于70mm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(7)箱体应设足够的自然通风措施，以保证在一般周围空气温度下运行时，所有电器设备的温度不超过其最大允许温度。</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(8)箱式开关站应具有防止故障所引发内部电弧造成操作及外部人员伤害的功能。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(9)箱式开关站门内侧应装有主接线图。箱式开关站外侧应有产品铭牌。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箱体外（不含基础）无外露可拆卸的螺栓，所有的门应向外开，开启角度应大于90°，并设定位装置，开关操作机构应向外开。门应有密封措施，并装有暗把手、暗闩（不锈钢），并确保能防雨、防锈，铰链应采用带锁定位置的内铰链。门的设计尺寸应与所装用的设备尺寸相配合，门折页采用不锈钢暗式折页。</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3.硅橡胶电缆插头技术要求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采用屏蔽型欧式硅橡胶“T”型电缆插头，螺栓逐级紧固式连接。</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采用进口硅橡胶原料，HTV高温固态硫化工艺注射成形。</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屏蔽型层采用进口硅橡胶原料，LSR高温液态硫化工艺注射成形。</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配套件齐全，包含全部电缆连接所需的全部附件材料。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  配备光纤型短路/接地故障指示器。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  环网柜电缆肘型头制作由产品供应商负责，并承担3年质保期内因肘型头故障引发的设备故障和相关连带责任。</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4.自动化升级配置</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开关预留加装电动操作机构、PT、CT及远方控制装置的位置。</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5.备品、备件</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随柜配带操作杆1只。</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每台环网柜提供</w:t>
      </w:r>
      <w:bookmarkEnd w:id="177"/>
      <w:bookmarkEnd w:id="178"/>
      <w:bookmarkEnd w:id="179"/>
      <w:bookmarkEnd w:id="180"/>
      <w:bookmarkEnd w:id="181"/>
      <w:bookmarkEnd w:id="182"/>
      <w:bookmarkEnd w:id="183"/>
      <w:r>
        <w:rPr>
          <w:rFonts w:hint="eastAsia" w:ascii="宋体" w:hAnsi="宋体" w:eastAsia="宋体" w:cs="宋体"/>
          <w:color w:val="auto"/>
          <w:sz w:val="21"/>
          <w:szCs w:val="21"/>
        </w:rPr>
        <w:t>10KV电缆终端头（T型头+肘型头）二套。</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91" w:name="_Toc144090195"/>
      <w:r>
        <w:rPr>
          <w:rFonts w:hint="eastAsia" w:ascii="宋体" w:hAnsi="宋体" w:eastAsia="宋体" w:cs="宋体"/>
          <w:color w:val="auto"/>
          <w:sz w:val="21"/>
          <w:szCs w:val="21"/>
        </w:rPr>
        <w:t xml:space="preserve">6.防误闭锁功能要求：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(1)、高压开关柜需配置具有防误接口的高压带电显示闭锁装置和电子防误锁具。主要功能要求如下：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高压带电显示闭锁装置具备电子防误钥匙接口，能与接地刀闸和后柜门配置的电子防误锁具实现联锁；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高压带电显示闭锁装置和电子防误锁具都具备与现有的配电防误系统平台接口，实现设备操作的统一管理。（现有防误平台和电子防误钥匙咨询项目管理单位）</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电子防误锁具只能使用电子防误钥匙进行开启，当高压带电显示闭锁装置在A/B/C三相任何一相有电时，电子防误钥匙就无法打开相应的电子防误锁具。</w:t>
      </w:r>
    </w:p>
    <w:bookmarkEnd w:id="191"/>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92" w:name="_Toc229797553"/>
      <w:r>
        <w:rPr>
          <w:rFonts w:hint="eastAsia" w:ascii="宋体" w:hAnsi="宋体" w:eastAsia="宋体" w:cs="宋体"/>
          <w:color w:val="auto"/>
          <w:sz w:val="21"/>
          <w:szCs w:val="21"/>
        </w:rPr>
        <w:t>(2)主要技术特性及参数</w:t>
      </w:r>
      <w:bookmarkEnd w:id="192"/>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温度范围 -45℃到85℃</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工作湿度：日平均不大于95%</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闭锁特性：电脑钥匙接口，符合《DL/T538-2006》国标。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动作寿命： 大于5万次</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指示灯亮度和重复频率： 符合《DL/T538-2006》国标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额定频率： 50Hz</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外形尺寸： 130 mm×30 mm×60mm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标称电压： </w:t>
      </w:r>
      <w:r>
        <w:rPr>
          <w:rFonts w:hint="eastAsia" w:ascii="宋体" w:hAnsi="宋体" w:eastAsia="宋体" w:cs="宋体"/>
          <w:color w:val="auto"/>
          <w:sz w:val="21"/>
          <w:szCs w:val="21"/>
        </w:rPr>
        <w:drawing>
          <wp:inline distT="0" distB="0" distL="114300" distR="114300">
            <wp:extent cx="571500" cy="2286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3"/>
                    <a:stretch>
                      <a:fillRect/>
                    </a:stretch>
                  </pic:blipFill>
                  <pic:spPr>
                    <a:xfrm>
                      <a:off x="0" y="0"/>
                      <a:ext cx="571500" cy="228600"/>
                    </a:xfrm>
                    <a:prstGeom prst="rect">
                      <a:avLst/>
                    </a:prstGeom>
                    <a:noFill/>
                    <a:ln>
                      <a:noFill/>
                    </a:ln>
                  </pic:spPr>
                </pic:pic>
              </a:graphicData>
            </a:graphic>
          </wp:inline>
        </w:drawing>
      </w:r>
      <w:r>
        <w:rPr>
          <w:rFonts w:hint="eastAsia" w:ascii="宋体" w:hAnsi="宋体" w:eastAsia="宋体" w:cs="宋体"/>
          <w:color w:val="auto"/>
          <w:sz w:val="21"/>
          <w:szCs w:val="21"/>
        </w:rPr>
        <w:t>至</w:t>
      </w:r>
      <w:r>
        <w:rPr>
          <w:rFonts w:hint="eastAsia" w:ascii="宋体" w:hAnsi="宋体" w:eastAsia="宋体" w:cs="宋体"/>
          <w:color w:val="auto"/>
          <w:sz w:val="21"/>
          <w:szCs w:val="21"/>
        </w:rPr>
        <w:drawing>
          <wp:inline distT="0" distB="0" distL="114300" distR="114300">
            <wp:extent cx="634365" cy="22860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stretch>
                      <a:fillRect/>
                    </a:stretch>
                  </pic:blipFill>
                  <pic:spPr>
                    <a:xfrm>
                      <a:off x="0" y="0"/>
                      <a:ext cx="634365" cy="2286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连接点电压：AC6~14V</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配用相位识别器要求：输入电压10V，输入阻抗大于5MΩ</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93" w:name="_Toc229797556"/>
      <w:bookmarkStart w:id="194" w:name="_Toc144090200"/>
      <w:r>
        <w:rPr>
          <w:rFonts w:hint="eastAsia" w:ascii="宋体" w:hAnsi="宋体" w:eastAsia="宋体" w:cs="宋体"/>
          <w:color w:val="auto"/>
          <w:sz w:val="21"/>
          <w:szCs w:val="21"/>
        </w:rPr>
        <w:t>(3)传感器单元要求</w:t>
      </w:r>
      <w:bookmarkEnd w:id="193"/>
      <w:bookmarkEnd w:id="194"/>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感应电流在0.01mA—1mA之间的电容式支柱传感器，所配用的电容式支柱传感器必须符合GB8287.1《高压支柱瓷绝缘子技术条件》和DL/T593《高压开关设备和控制设备的共用技术要求》的要求或者满足IEC61952对复合绝缘子的要求。</w:t>
      </w:r>
      <w:bookmarkEnd w:id="184"/>
      <w:bookmarkEnd w:id="185"/>
      <w:bookmarkEnd w:id="186"/>
      <w:bookmarkEnd w:id="187"/>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(二十九)高压配电装置</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开关主要技术参数见表1</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表1                          开关主要技术参数</w:t>
      </w:r>
    </w:p>
    <w:tbl>
      <w:tblPr>
        <w:tblStyle w:val="58"/>
        <w:tblW w:w="6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00"/>
        <w:gridCol w:w="900"/>
        <w:gridCol w:w="126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 号</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 位</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负荷开关</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组合电器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额定电压</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雷电冲击电压（相地/断口）</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95/125</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工频耐压（相地/断口）</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42/48</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额定短时耐受电流（3s）</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额定峰值耐受电流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额定闭环开断电流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额定转移电流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额定短路开断电流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额定短路关合电流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额定电流开断次数</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次</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&gt;100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额定短路关合次数</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(主回路/接地回路)</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次</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机械操作次数</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次</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r>
    </w:tbl>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高压电缆插头主要技术参数见表2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表2              高压电缆插头主要技术参数</w:t>
      </w:r>
    </w:p>
    <w:tbl>
      <w:tblPr>
        <w:tblStyle w:val="58"/>
        <w:tblW w:w="6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860"/>
        <w:gridCol w:w="862"/>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 号</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 位</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额定电压</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额定电流</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工频耐压5分钟</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直流耐压5分钟</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雷电冲击耐压</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局部放电15 kV</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pC</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额定短时耐受电流（3s）</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额定峰值耐受电流</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绝缘电阻</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MΩ</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r>
    </w:tbl>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1.开关整体选用Schneider-RM6（AREVA-FBX）、ABB-SAFE、</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"http://www.siemens-ha.com.cn/"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Siemens</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-8DJ20、Iberica-IA、Smart等同档次系列SF6共箱式全密封全绝缘开关柜。</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2.开关使用寿命不少于30年。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3.开关为金属全密闭气箱，母线在不锈钢SF6气箱中，整体10kV全密闭结构。</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4.开关进出线侧均配置带电显示器，并具有二次核相功能。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5.SF6开关应能保证气体年泄露率低于0.25‰/年。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6.开关带有SF6气压表，当压力不足时有明显指示。</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7.熔断器采用EFEN、SIBA、AREVA公司带温度保护功能的熔断器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8.负荷开关＋熔断器组合电器带有熔断自动脱扣装置，任意一相熔断时，三相同时跳闸，防止缺相运行，熔断器采用弹簧撞针类产品。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9.开关柜满足“五防”（防止误分、误合断路器；防止带负荷拉、合隔离开关；防止带电（挂）合接地（线）开关；防止带电挂（合）接地线（开关、断路器）；防止误入带电间隔）要求。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10变压器高压侧采用带有铜屏蔽接地的单芯电缆，并采取绝缘措施进行固定，带有相别标识。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11.进线单元应装有避雷器。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12.硅橡胶电缆插头技术要求。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用可触摸屏蔽型欧式硅橡胶T型电缆插头，螺栓逐级紧固式连接。采用进口硅橡胶原料，HTV高温固态硫化工艺注射成形。屏蔽型层采用进口硅橡胶原料，LSR高温液态硫化工艺注射成形。配套件齐全，包含全部电缆连接所需的全部附件材料。箱变电缆肘型头制作由产品供应商负责，并承担3年质保期内因肘型头故障引发的设备故障和相关连带责任。</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13.高压电缆为双根，备用电缆采用热备用方式，开关柜进、出线电缆室应满足安装双根电缆的深度。</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14.终端型结构要求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(1)一进一出方式：进线为不带负荷开关的母线进线柜（不带开关），出线为负荷开关加熔断器组合单元组成。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 1 \* GB3 \* MERGEFORMAT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①</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t>技术标准和要求中所有要求提供的证明材料均须在进场前提供，经甲方确认后方可使用。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 2 \* GB3 \* MERGEFORMAT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②</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t>经过采购人确认后的所有施工使用材料品牌须选用该品牌中的中等及偏上档次产品。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③以上内容为东北师范大学2022年维修改造通用技术标准和要求，请施工单位根据工程量清单及施工图纸内的施工内容对应查看，不在清单及图纸中呈现的内容对应的技术标准与本项目无关。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Cs/>
          <w:color w:val="auto"/>
          <w:sz w:val="21"/>
          <w:szCs w:val="21"/>
        </w:rPr>
      </w:pPr>
      <w:r>
        <w:rPr>
          <w:rFonts w:hint="eastAsia" w:ascii="宋体" w:hAnsi="宋体" w:eastAsia="宋体" w:cs="宋体"/>
          <w:b/>
          <w:bCs/>
          <w:color w:val="auto"/>
          <w:sz w:val="21"/>
          <w:szCs w:val="21"/>
        </w:rPr>
        <w:t>④未做特殊说明部分详见施工图纸及国家建造标准、地方标准等。</w:t>
      </w:r>
      <w:r>
        <w:rPr>
          <w:rFonts w:hint="eastAsia" w:ascii="宋体" w:hAnsi="宋体" w:eastAsia="宋体" w:cs="宋体"/>
          <w:color w:val="auto"/>
          <w:sz w:val="21"/>
          <w:szCs w:val="21"/>
        </w:rPr>
        <w:br w:type="page"/>
      </w:r>
    </w:p>
    <w:p>
      <w:pPr>
        <w:keepNext w:val="0"/>
        <w:keepLines w:val="0"/>
        <w:pageBreakBefore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2022年修缮工程主材选材</w:t>
      </w:r>
    </w:p>
    <w:tbl>
      <w:tblPr>
        <w:tblStyle w:val="5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08"/>
        <w:gridCol w:w="199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类别</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材料名称</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乳胶漆</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立邦、美涂士、华润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成品隔断</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静雅、福瑞斯特、斯博瑞德、勇壮铝型材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木质复合门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TATA、华鹤、梦天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纤维吸音板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北洋、欧风、Isofon伊索风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防火门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盼盼、步阳、震鑫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铝矿棉复合板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舒心、禹希禹彤、御龙森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矿棉板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龙牌、泰山、可耐福、万章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bookmarkStart w:id="195" w:name="_Hlk41457072"/>
            <w:r>
              <w:rPr>
                <w:rFonts w:hint="eastAsia" w:ascii="宋体" w:hAnsi="宋体" w:eastAsia="宋体" w:cs="宋体"/>
                <w:color w:val="auto"/>
                <w:kern w:val="0"/>
                <w:sz w:val="21"/>
                <w:szCs w:val="21"/>
              </w:rPr>
              <w:t>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断桥铝门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拖田、辽沈、坚美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断桥铝门</w:t>
            </w:r>
            <w:r>
              <w:rPr>
                <w:rFonts w:hint="eastAsia" w:ascii="宋体" w:hAnsi="宋体" w:eastAsia="宋体" w:cs="宋体"/>
                <w:color w:val="auto"/>
                <w:sz w:val="21"/>
                <w:szCs w:val="21"/>
              </w:rPr>
              <w:t>五金品牌选用</w:t>
            </w:r>
          </w:p>
        </w:tc>
        <w:tc>
          <w:tcPr>
            <w:tcW w:w="4961" w:type="dxa"/>
            <w:noWrap/>
            <w:vAlign w:val="center"/>
          </w:tcPr>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邦派、顶固、现代</w:t>
            </w:r>
          </w:p>
        </w:tc>
      </w:tr>
      <w:bookmark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金属塑钢窗(门)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海螺、实德、中财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实木复合地板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bookmarkStart w:id="196" w:name="_Hlk41457196"/>
            <w:r>
              <w:rPr>
                <w:rFonts w:hint="eastAsia" w:ascii="宋体" w:hAnsi="宋体" w:eastAsia="宋体" w:cs="宋体"/>
                <w:color w:val="auto"/>
                <w:kern w:val="0"/>
                <w:sz w:val="21"/>
                <w:szCs w:val="21"/>
              </w:rPr>
              <w:t>圣象、大自然、贝尔</w:t>
            </w:r>
            <w:bookmarkEnd w:id="1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bookmarkStart w:id="197" w:name="_Hlk41457297"/>
            <w:r>
              <w:rPr>
                <w:rFonts w:hint="eastAsia" w:ascii="宋体" w:hAnsi="宋体" w:eastAsia="宋体" w:cs="宋体"/>
                <w:color w:val="auto"/>
                <w:kern w:val="0"/>
                <w:sz w:val="21"/>
                <w:szCs w:val="21"/>
              </w:rPr>
              <w:t>12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抗静电地板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汇联、沈飞、汇迈、金岛、创星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rPr>
              <w:t>不锈钢墙面</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太钢、酒钢、鞍钢、泰山钢铁、宏旺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rPr>
              <w:t>木饰面</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兔宝宝、千年舟、莫干山、红棉花、福庆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吸音板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莱仕德、佰家丽、声博士、律音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壁纸</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玉兰家居、特普丽、欧雅、瑞宝、柔然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塑胶地板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阿姆斯壮、德嘉、LG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防水材料</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涂膜防水材料</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科顺、三棵树、卓宝、宏源、雨虹、北新禹王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外墙保温</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岩棉复合板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鲁阳、泰石、龙牌、ABM、华能中天、金隅、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屋面</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金属面聚苯乙烯夹芯板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福春、福海、福津、莫干山、鹏鸿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屋面防水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卷材防水</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东方雨虹、盘锦禹王、沈阳蓝光、通达</w:t>
            </w:r>
          </w:p>
        </w:tc>
      </w:tr>
      <w:bookmark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室内吊棚</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石膏板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龙牌、泰山、可耐福、万章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室内吊棚</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集成吊顶</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友邦、法狮龙、奥普、奥雅利、吉筑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地面瓷砖</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瓷砖</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马可波罗、蒙娜丽莎、冠珠、安基、宏宇、欧神诺、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PPR管</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金牛、金德、日丰、联塑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卫生洁具</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恒洁、九牧、箭牌、惠达、TOTO、朝阳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散热器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bookmarkStart w:id="198" w:name="_Hlk41457411"/>
            <w:r>
              <w:rPr>
                <w:rFonts w:hint="eastAsia" w:ascii="宋体" w:hAnsi="宋体" w:eastAsia="宋体" w:cs="宋体"/>
                <w:color w:val="auto"/>
                <w:kern w:val="0"/>
                <w:sz w:val="21"/>
                <w:szCs w:val="21"/>
              </w:rPr>
              <w:t>大维、响铃、英俊</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铜质闸阀</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埃美柯、联塑、力牌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电线、电缆</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海达、通用、通力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空开</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开关、插座</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松下、西蒙、泰力、公牛、西门子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灯具</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欧普、飞利浦、松下、TCL、欧司朗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高压配电柜</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热水器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海尔、美的、史密斯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塑胶地板</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塑胶地板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阿姆斯壮、德嘉、LG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消防管网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管材</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华岐、友发、郑金元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消防管网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消防水泵</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上海成峰、铠之泉、上海江洋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消防管网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线缆</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天津津达、吉速达、吉兴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田径场</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13mm塑胶跑道</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广州同欣、广州格林斯柏、浙江绿能、江苏长诺、长河化工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雨水外网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污水泵</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上海连成、山东双轮、重庆大俞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供水泵房</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水泵系统</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威派格，格兰富，赛莱默、威乐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08"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注：上述品牌如不能满足实际施工要求，可在征得甲方同意后更换同档次以上其他品牌</w:t>
            </w:r>
          </w:p>
        </w:tc>
      </w:tr>
    </w:tbl>
    <w:p>
      <w:pPr>
        <w:snapToGrid w:val="0"/>
        <w:spacing w:before="156" w:beforeLines="50" w:after="156" w:afterLines="50" w:line="312" w:lineRule="auto"/>
        <w:jc w:val="center"/>
        <w:outlineLvl w:val="0"/>
        <w:rPr>
          <w:rFonts w:ascii="宋体" w:hAnsi="宋体" w:cs="宋体"/>
          <w:b/>
          <w:color w:val="auto"/>
          <w:sz w:val="36"/>
        </w:rPr>
      </w:pPr>
      <w:r>
        <w:rPr>
          <w:rFonts w:hint="eastAsia" w:ascii="宋体" w:hAnsi="宋体" w:cs="宋体"/>
          <w:b/>
          <w:color w:val="auto"/>
          <w:sz w:val="36"/>
        </w:rPr>
        <w:br w:type="page"/>
      </w:r>
      <w:bookmarkStart w:id="199" w:name="_Toc30232"/>
      <w:r>
        <w:rPr>
          <w:rFonts w:hint="eastAsia" w:ascii="宋体" w:hAnsi="宋体" w:cs="宋体"/>
          <w:b/>
          <w:bCs/>
          <w:color w:val="auto"/>
          <w:sz w:val="32"/>
          <w:szCs w:val="18"/>
        </w:rPr>
        <w:t>第八章  响应文件内容及格式要求</w:t>
      </w:r>
      <w:bookmarkEnd w:id="169"/>
      <w:bookmarkEnd w:id="199"/>
    </w:p>
    <w:p>
      <w:pPr>
        <w:snapToGrid w:val="0"/>
        <w:spacing w:before="156" w:beforeLines="50" w:after="156" w:afterLines="50" w:line="312" w:lineRule="auto"/>
        <w:ind w:firstLine="573"/>
        <w:jc w:val="center"/>
        <w:rPr>
          <w:rFonts w:ascii="宋体" w:hAnsi="宋体" w:cs="宋体"/>
          <w:color w:val="auto"/>
          <w:sz w:val="21"/>
          <w:szCs w:val="24"/>
        </w:rPr>
      </w:pPr>
      <w:r>
        <w:rPr>
          <w:rFonts w:hint="eastAsia" w:ascii="宋体" w:hAnsi="宋体" w:cs="宋体"/>
          <w:color w:val="auto"/>
          <w:sz w:val="21"/>
          <w:szCs w:val="24"/>
        </w:rPr>
        <w:t>请按照以下响应文件格式要求制作响应文件。</w:t>
      </w:r>
    </w:p>
    <w:p>
      <w:pPr>
        <w:widowControl/>
        <w:spacing w:before="156" w:beforeLines="50" w:after="156" w:afterLines="50" w:line="312" w:lineRule="auto"/>
        <w:jc w:val="left"/>
        <w:rPr>
          <w:rFonts w:ascii="宋体" w:hAnsi="宋体" w:cs="宋体"/>
          <w:color w:val="auto"/>
          <w:sz w:val="72"/>
          <w:szCs w:val="72"/>
        </w:rPr>
      </w:pPr>
      <w:r>
        <w:rPr>
          <w:rFonts w:hint="eastAsia" w:ascii="宋体" w:hAnsi="宋体" w:cs="宋体"/>
          <w:color w:val="auto"/>
          <w:sz w:val="72"/>
          <w:szCs w:val="72"/>
        </w:rPr>
        <w:br w:type="page"/>
      </w:r>
    </w:p>
    <w:p>
      <w:pPr>
        <w:pStyle w:val="32"/>
        <w:spacing w:before="156" w:beforeLines="50" w:after="156" w:afterLines="50" w:line="312" w:lineRule="auto"/>
        <w:jc w:val="center"/>
        <w:rPr>
          <w:rFonts w:hAnsi="宋体" w:cs="宋体"/>
          <w:color w:val="auto"/>
          <w:sz w:val="72"/>
          <w:szCs w:val="72"/>
        </w:rPr>
      </w:pPr>
      <w:bookmarkStart w:id="200" w:name="_Toc30944_WPSOffice_Level1"/>
      <w:bookmarkStart w:id="201" w:name="_Toc24496_WPSOffice_Level1"/>
      <w:bookmarkStart w:id="202" w:name="_Toc7717_WPSOffice_Level1"/>
      <w:r>
        <w:rPr>
          <w:rFonts w:hint="eastAsia" w:hAnsi="宋体" w:cs="宋体"/>
          <w:color w:val="auto"/>
          <w:sz w:val="72"/>
          <w:szCs w:val="72"/>
        </w:rPr>
        <w:t>响应文件</w:t>
      </w:r>
      <w:bookmarkEnd w:id="200"/>
      <w:bookmarkEnd w:id="201"/>
      <w:bookmarkEnd w:id="202"/>
    </w:p>
    <w:p>
      <w:pPr>
        <w:pStyle w:val="32"/>
        <w:spacing w:before="156" w:beforeLines="50" w:after="156" w:afterLines="50" w:line="312" w:lineRule="auto"/>
        <w:rPr>
          <w:rFonts w:hAnsi="宋体" w:cs="宋体"/>
          <w:color w:val="auto"/>
          <w:sz w:val="32"/>
        </w:rPr>
      </w:pPr>
    </w:p>
    <w:p>
      <w:pPr>
        <w:pStyle w:val="32"/>
        <w:spacing w:before="156" w:beforeLines="50" w:after="156" w:afterLines="50" w:line="312" w:lineRule="auto"/>
        <w:rPr>
          <w:rFonts w:hAnsi="宋体" w:cs="宋体"/>
          <w:color w:val="auto"/>
          <w:sz w:val="32"/>
        </w:rPr>
      </w:pPr>
    </w:p>
    <w:p>
      <w:pPr>
        <w:pStyle w:val="32"/>
        <w:spacing w:before="156" w:beforeLines="50" w:after="156" w:afterLines="50" w:line="312" w:lineRule="auto"/>
        <w:rPr>
          <w:rFonts w:hAnsi="宋体" w:cs="宋体"/>
          <w:color w:val="auto"/>
          <w:sz w:val="32"/>
        </w:rPr>
      </w:pPr>
    </w:p>
    <w:p>
      <w:pPr>
        <w:spacing w:before="156" w:beforeLines="50" w:after="156" w:afterLines="50" w:line="312" w:lineRule="auto"/>
        <w:ind w:firstLine="1080" w:firstLineChars="300"/>
        <w:rPr>
          <w:rFonts w:ascii="宋体" w:hAnsi="宋体" w:cs="宋体"/>
          <w:color w:val="auto"/>
          <w:sz w:val="36"/>
        </w:rPr>
      </w:pPr>
      <w:bookmarkStart w:id="203" w:name="_Toc5770_WPSOffice_Level1"/>
      <w:bookmarkStart w:id="204" w:name="_Toc2646_WPSOffice_Level1"/>
      <w:bookmarkStart w:id="205" w:name="_Toc2592_WPSOffice_Level1"/>
      <w:r>
        <w:rPr>
          <w:rFonts w:hint="eastAsia" w:ascii="宋体" w:hAnsi="宋体" w:cs="宋体"/>
          <w:color w:val="auto"/>
          <w:sz w:val="36"/>
        </w:rPr>
        <w:t>项目名称:</w:t>
      </w:r>
      <w:bookmarkEnd w:id="203"/>
      <w:bookmarkEnd w:id="204"/>
      <w:bookmarkEnd w:id="205"/>
    </w:p>
    <w:p>
      <w:pPr>
        <w:pStyle w:val="32"/>
        <w:spacing w:before="156" w:beforeLines="50" w:after="156" w:afterLines="50" w:line="312" w:lineRule="auto"/>
        <w:rPr>
          <w:rFonts w:hAnsi="宋体" w:cs="宋体"/>
          <w:color w:val="auto"/>
          <w:sz w:val="32"/>
        </w:rPr>
      </w:pPr>
    </w:p>
    <w:p>
      <w:pPr>
        <w:pStyle w:val="32"/>
        <w:spacing w:before="156" w:beforeLines="50" w:after="156" w:afterLines="50" w:line="312" w:lineRule="auto"/>
        <w:ind w:firstLine="1062" w:firstLineChars="295"/>
        <w:rPr>
          <w:rFonts w:hAnsi="宋体" w:cs="宋体"/>
          <w:color w:val="auto"/>
          <w:sz w:val="36"/>
          <w:szCs w:val="24"/>
        </w:rPr>
      </w:pPr>
    </w:p>
    <w:p>
      <w:pPr>
        <w:pStyle w:val="32"/>
        <w:spacing w:before="156" w:beforeLines="50" w:after="156" w:afterLines="50" w:line="312" w:lineRule="auto"/>
        <w:ind w:firstLine="1062" w:firstLineChars="295"/>
        <w:rPr>
          <w:rFonts w:hAnsi="宋体" w:cs="宋体"/>
          <w:color w:val="auto"/>
          <w:sz w:val="36"/>
          <w:szCs w:val="24"/>
        </w:rPr>
      </w:pPr>
      <w:bookmarkStart w:id="206" w:name="_Toc20795_WPSOffice_Level1"/>
      <w:bookmarkStart w:id="207" w:name="_Toc4086_WPSOffice_Level1"/>
      <w:bookmarkStart w:id="208" w:name="_Toc10180_WPSOffice_Level1"/>
      <w:r>
        <w:rPr>
          <w:rFonts w:hint="eastAsia" w:hAnsi="宋体" w:cs="宋体"/>
          <w:color w:val="auto"/>
          <w:sz w:val="36"/>
          <w:szCs w:val="24"/>
        </w:rPr>
        <w:t>项目编号:</w:t>
      </w:r>
      <w:bookmarkEnd w:id="206"/>
      <w:bookmarkEnd w:id="207"/>
      <w:bookmarkEnd w:id="208"/>
    </w:p>
    <w:p>
      <w:pPr>
        <w:spacing w:before="156" w:beforeLines="50" w:after="156" w:afterLines="50" w:line="312" w:lineRule="auto"/>
        <w:rPr>
          <w:rFonts w:ascii="宋体" w:hAnsi="宋体" w:cs="宋体"/>
          <w:color w:val="auto"/>
          <w:sz w:val="32"/>
        </w:rPr>
      </w:pPr>
    </w:p>
    <w:p>
      <w:pPr>
        <w:spacing w:before="156" w:beforeLines="50" w:after="156" w:afterLines="50" w:line="312" w:lineRule="auto"/>
        <w:rPr>
          <w:rFonts w:ascii="宋体" w:hAnsi="宋体" w:cs="宋体"/>
          <w:color w:val="auto"/>
          <w:sz w:val="32"/>
        </w:rPr>
      </w:pPr>
    </w:p>
    <w:p>
      <w:pPr>
        <w:spacing w:before="156" w:beforeLines="50" w:after="156" w:afterLines="50" w:line="312" w:lineRule="auto"/>
        <w:rPr>
          <w:rFonts w:ascii="宋体" w:hAnsi="宋体" w:cs="宋体"/>
          <w:color w:val="auto"/>
          <w:sz w:val="32"/>
        </w:rPr>
      </w:pPr>
    </w:p>
    <w:p>
      <w:pPr>
        <w:spacing w:before="156" w:beforeLines="50" w:after="156" w:afterLines="50" w:line="312" w:lineRule="auto"/>
        <w:ind w:firstLine="1062" w:firstLineChars="295"/>
        <w:rPr>
          <w:rFonts w:ascii="宋体" w:hAnsi="宋体" w:cs="宋体"/>
          <w:color w:val="auto"/>
          <w:sz w:val="32"/>
        </w:rPr>
      </w:pPr>
      <w:bookmarkStart w:id="209" w:name="_Toc10681_WPSOffice_Level1"/>
      <w:bookmarkStart w:id="210" w:name="_Toc5966_WPSOffice_Level1"/>
      <w:bookmarkStart w:id="211" w:name="_Toc4889_WPSOffice_Level1"/>
      <w:r>
        <w:rPr>
          <w:rFonts w:hint="eastAsia" w:ascii="宋体" w:hAnsi="宋体" w:cs="宋体"/>
          <w:color w:val="auto"/>
          <w:sz w:val="36"/>
        </w:rPr>
        <w:t>供应商：</w:t>
      </w:r>
      <w:bookmarkEnd w:id="209"/>
      <w:bookmarkEnd w:id="210"/>
      <w:bookmarkEnd w:id="211"/>
    </w:p>
    <w:p>
      <w:pPr>
        <w:pStyle w:val="32"/>
        <w:spacing w:before="156" w:beforeLines="50" w:after="156" w:afterLines="50" w:line="312" w:lineRule="auto"/>
        <w:ind w:firstLine="1904" w:firstLineChars="595"/>
        <w:rPr>
          <w:rFonts w:hAnsi="宋体" w:cs="宋体"/>
          <w:color w:val="auto"/>
          <w:sz w:val="32"/>
        </w:rPr>
      </w:pPr>
    </w:p>
    <w:p>
      <w:pPr>
        <w:pStyle w:val="32"/>
        <w:spacing w:before="156" w:beforeLines="50" w:after="156" w:afterLines="50" w:line="312" w:lineRule="auto"/>
        <w:rPr>
          <w:rFonts w:hAnsi="宋体" w:cs="宋体"/>
          <w:color w:val="auto"/>
          <w:sz w:val="36"/>
          <w:szCs w:val="24"/>
        </w:rPr>
      </w:pPr>
    </w:p>
    <w:p>
      <w:pPr>
        <w:pStyle w:val="32"/>
        <w:spacing w:before="156" w:beforeLines="50" w:after="156" w:afterLines="50" w:line="312" w:lineRule="auto"/>
        <w:ind w:firstLine="2142" w:firstLineChars="595"/>
        <w:rPr>
          <w:rFonts w:hAnsi="宋体" w:cs="宋体"/>
          <w:color w:val="auto"/>
          <w:sz w:val="36"/>
          <w:szCs w:val="24"/>
        </w:rPr>
      </w:pPr>
    </w:p>
    <w:p>
      <w:pPr>
        <w:pStyle w:val="32"/>
        <w:spacing w:before="156" w:beforeLines="50" w:after="156" w:afterLines="50" w:line="312" w:lineRule="auto"/>
        <w:ind w:firstLine="2142" w:firstLineChars="595"/>
        <w:rPr>
          <w:rFonts w:hAnsi="宋体" w:cs="宋体"/>
          <w:color w:val="auto"/>
          <w:sz w:val="36"/>
          <w:szCs w:val="24"/>
        </w:rPr>
      </w:pPr>
    </w:p>
    <w:p>
      <w:pPr>
        <w:pStyle w:val="32"/>
        <w:spacing w:before="156" w:beforeLines="50" w:after="156" w:afterLines="50" w:line="312" w:lineRule="auto"/>
        <w:rPr>
          <w:rFonts w:hAnsi="宋体" w:cs="宋体"/>
          <w:color w:val="auto"/>
          <w:sz w:val="36"/>
          <w:szCs w:val="24"/>
        </w:rPr>
      </w:pPr>
    </w:p>
    <w:p>
      <w:pPr>
        <w:pStyle w:val="32"/>
        <w:spacing w:before="156" w:beforeLines="50" w:after="156" w:afterLines="50" w:line="312" w:lineRule="auto"/>
        <w:ind w:firstLine="1972" w:firstLineChars="548"/>
        <w:rPr>
          <w:rFonts w:hAnsi="宋体" w:cs="宋体"/>
          <w:color w:val="auto"/>
          <w:sz w:val="32"/>
        </w:rPr>
      </w:pPr>
      <w:bookmarkStart w:id="212" w:name="_Toc2208_WPSOffice_Level1"/>
      <w:bookmarkStart w:id="213" w:name="_Toc26124_WPSOffice_Level1"/>
      <w:bookmarkStart w:id="214" w:name="_Toc5166_WPSOffice_Level1"/>
      <w:r>
        <w:rPr>
          <w:rFonts w:hint="eastAsia" w:hAnsi="宋体" w:cs="宋体"/>
          <w:color w:val="auto"/>
          <w:sz w:val="36"/>
          <w:szCs w:val="24"/>
        </w:rPr>
        <w:t>二〇二二年    月    日</w:t>
      </w:r>
      <w:bookmarkEnd w:id="212"/>
      <w:bookmarkEnd w:id="213"/>
      <w:bookmarkEnd w:id="214"/>
    </w:p>
    <w:bookmarkEnd w:id="170"/>
    <w:bookmarkEnd w:id="171"/>
    <w:p>
      <w:pPr>
        <w:spacing w:before="156" w:beforeLines="50" w:after="156" w:afterLines="50" w:line="312" w:lineRule="auto"/>
        <w:jc w:val="center"/>
        <w:rPr>
          <w:rFonts w:ascii="宋体" w:hAnsi="宋体" w:cs="宋体"/>
          <w:b/>
          <w:bCs/>
          <w:color w:val="auto"/>
          <w:szCs w:val="28"/>
        </w:rPr>
      </w:pPr>
      <w:bookmarkStart w:id="215" w:name="_Toc12789073"/>
      <w:r>
        <w:rPr>
          <w:rFonts w:hint="eastAsia" w:ascii="宋体" w:hAnsi="宋体" w:cs="宋体"/>
          <w:color w:val="auto"/>
          <w:sz w:val="21"/>
          <w:szCs w:val="21"/>
        </w:rPr>
        <w:br w:type="page"/>
      </w:r>
      <w:bookmarkEnd w:id="215"/>
      <w:bookmarkStart w:id="216" w:name="_Toc14255_WPSOffice_Level2"/>
      <w:bookmarkStart w:id="217" w:name="_Toc3210_WPSOffice_Level1"/>
      <w:bookmarkStart w:id="218" w:name="_Toc984_WPSOffice_Level1"/>
      <w:r>
        <w:rPr>
          <w:rFonts w:hint="eastAsia" w:ascii="宋体" w:hAnsi="宋体" w:cs="宋体"/>
          <w:b/>
          <w:bCs/>
          <w:color w:val="auto"/>
          <w:szCs w:val="28"/>
        </w:rPr>
        <w:t>目  录</w:t>
      </w:r>
      <w:bookmarkEnd w:id="216"/>
      <w:bookmarkEnd w:id="217"/>
      <w:bookmarkEnd w:id="218"/>
    </w:p>
    <w:p>
      <w:pPr>
        <w:spacing w:line="312" w:lineRule="auto"/>
        <w:rPr>
          <w:rFonts w:ascii="宋体" w:hAnsi="宋体" w:cs="宋体"/>
          <w:bCs/>
          <w:color w:val="auto"/>
          <w:sz w:val="21"/>
          <w:szCs w:val="21"/>
        </w:rPr>
      </w:pPr>
      <w:r>
        <w:rPr>
          <w:rFonts w:hint="eastAsia" w:ascii="宋体" w:hAnsi="宋体" w:cs="宋体"/>
          <w:bCs/>
          <w:color w:val="auto"/>
          <w:sz w:val="21"/>
          <w:szCs w:val="21"/>
        </w:rPr>
        <w:t>一、磋商函及磋商函附录</w:t>
      </w:r>
    </w:p>
    <w:p>
      <w:pPr>
        <w:spacing w:line="312" w:lineRule="auto"/>
        <w:rPr>
          <w:rFonts w:ascii="宋体" w:hAnsi="宋体" w:cs="宋体"/>
          <w:bCs/>
          <w:color w:val="auto"/>
          <w:sz w:val="21"/>
          <w:szCs w:val="21"/>
        </w:rPr>
      </w:pPr>
      <w:r>
        <w:rPr>
          <w:rFonts w:hint="eastAsia" w:ascii="宋体" w:hAnsi="宋体" w:cs="宋体"/>
          <w:bCs/>
          <w:color w:val="auto"/>
          <w:sz w:val="21"/>
          <w:szCs w:val="21"/>
        </w:rPr>
        <w:t>二、报价一览表</w:t>
      </w:r>
    </w:p>
    <w:p>
      <w:pPr>
        <w:spacing w:line="312" w:lineRule="auto"/>
        <w:rPr>
          <w:rFonts w:ascii="宋体" w:hAnsi="宋体" w:cs="宋体"/>
          <w:bCs/>
          <w:color w:val="auto"/>
          <w:sz w:val="21"/>
          <w:szCs w:val="21"/>
        </w:rPr>
      </w:pPr>
      <w:r>
        <w:rPr>
          <w:rFonts w:hint="eastAsia" w:ascii="宋体" w:hAnsi="宋体" w:cs="宋体"/>
          <w:bCs/>
          <w:color w:val="auto"/>
          <w:sz w:val="21"/>
          <w:szCs w:val="21"/>
        </w:rPr>
        <w:t>三、</w:t>
      </w:r>
      <w:r>
        <w:rPr>
          <w:rFonts w:hint="eastAsia" w:ascii="宋体" w:hAnsi="宋体" w:cs="宋体"/>
          <w:color w:val="auto"/>
          <w:sz w:val="21"/>
          <w:szCs w:val="21"/>
        </w:rPr>
        <w:t>法定代表人身份证明或附有法定代表人身份证明的授权委托书</w:t>
      </w: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四、磋商保证金 </w:t>
      </w:r>
    </w:p>
    <w:p>
      <w:pPr>
        <w:spacing w:line="312" w:lineRule="auto"/>
        <w:rPr>
          <w:rFonts w:ascii="宋体" w:hAnsi="宋体" w:cs="宋体"/>
          <w:bCs/>
          <w:color w:val="auto"/>
          <w:sz w:val="21"/>
          <w:szCs w:val="21"/>
        </w:rPr>
      </w:pPr>
      <w:r>
        <w:rPr>
          <w:rFonts w:hint="eastAsia" w:ascii="宋体" w:hAnsi="宋体" w:cs="宋体"/>
          <w:bCs/>
          <w:color w:val="auto"/>
          <w:sz w:val="21"/>
          <w:szCs w:val="21"/>
        </w:rPr>
        <w:t>五、已标价工程量清单</w:t>
      </w:r>
    </w:p>
    <w:p>
      <w:pPr>
        <w:spacing w:line="312" w:lineRule="auto"/>
        <w:rPr>
          <w:rFonts w:ascii="宋体" w:hAnsi="宋体" w:cs="宋体"/>
          <w:bCs/>
          <w:color w:val="auto"/>
          <w:sz w:val="21"/>
          <w:szCs w:val="21"/>
        </w:rPr>
      </w:pPr>
      <w:r>
        <w:rPr>
          <w:rFonts w:hint="eastAsia" w:ascii="宋体" w:hAnsi="宋体" w:cs="宋体"/>
          <w:bCs/>
          <w:color w:val="auto"/>
          <w:sz w:val="21"/>
          <w:szCs w:val="21"/>
        </w:rPr>
        <w:t>六、项目管理机构</w:t>
      </w:r>
    </w:p>
    <w:p>
      <w:pPr>
        <w:spacing w:line="312" w:lineRule="auto"/>
        <w:rPr>
          <w:rFonts w:ascii="宋体" w:hAnsi="宋体" w:cs="宋体"/>
          <w:bCs/>
          <w:color w:val="auto"/>
          <w:sz w:val="21"/>
          <w:szCs w:val="21"/>
        </w:rPr>
      </w:pPr>
      <w:r>
        <w:rPr>
          <w:rFonts w:hint="eastAsia" w:ascii="宋体" w:hAnsi="宋体" w:cs="宋体"/>
          <w:bCs/>
          <w:color w:val="auto"/>
          <w:sz w:val="21"/>
          <w:szCs w:val="21"/>
        </w:rPr>
        <w:t>七、施工组织设计</w:t>
      </w:r>
    </w:p>
    <w:p>
      <w:pPr>
        <w:spacing w:line="312" w:lineRule="auto"/>
        <w:rPr>
          <w:rFonts w:ascii="宋体" w:hAnsi="宋体" w:cs="宋体"/>
          <w:bCs/>
          <w:color w:val="auto"/>
          <w:sz w:val="21"/>
          <w:szCs w:val="21"/>
        </w:rPr>
      </w:pPr>
      <w:r>
        <w:rPr>
          <w:rFonts w:hint="eastAsia" w:ascii="宋体" w:hAnsi="宋体" w:cs="宋体"/>
          <w:bCs/>
          <w:color w:val="auto"/>
          <w:sz w:val="21"/>
          <w:szCs w:val="21"/>
        </w:rPr>
        <w:t>八、资格审查资料</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jc w:val="right"/>
        <w:rPr>
          <w:rFonts w:ascii="宋体" w:hAnsi="宋体" w:cs="宋体"/>
          <w:color w:val="auto"/>
          <w:sz w:val="21"/>
          <w:szCs w:val="21"/>
        </w:rPr>
      </w:pPr>
      <w:r>
        <w:rPr>
          <w:rFonts w:hint="eastAsia" w:ascii="宋体" w:hAnsi="宋体" w:cs="宋体"/>
          <w:color w:val="auto"/>
          <w:sz w:val="21"/>
          <w:szCs w:val="21"/>
        </w:rPr>
        <w:t>（须编制页码）</w:t>
      </w:r>
    </w:p>
    <w:p>
      <w:pPr>
        <w:rPr>
          <w:rFonts w:ascii="宋体" w:hAnsi="宋体" w:cs="宋体"/>
          <w:color w:val="auto"/>
          <w:sz w:val="21"/>
          <w:szCs w:val="21"/>
        </w:rPr>
      </w:pPr>
      <w:r>
        <w:rPr>
          <w:rFonts w:hint="eastAsia" w:ascii="宋体" w:hAnsi="宋体" w:cs="宋体"/>
          <w:color w:val="auto"/>
          <w:sz w:val="21"/>
          <w:szCs w:val="21"/>
        </w:rPr>
        <w:br w:type="page"/>
      </w:r>
    </w:p>
    <w:p>
      <w:pPr>
        <w:pStyle w:val="6"/>
        <w:spacing w:line="312" w:lineRule="auto"/>
        <w:jc w:val="center"/>
        <w:rPr>
          <w:rFonts w:ascii="宋体" w:hAnsi="宋体" w:eastAsia="宋体" w:cs="宋体"/>
          <w:b w:val="0"/>
          <w:color w:val="auto"/>
        </w:rPr>
      </w:pPr>
      <w:bookmarkStart w:id="219" w:name="_Toc18255"/>
      <w:bookmarkStart w:id="220" w:name="_Toc10343"/>
      <w:bookmarkStart w:id="221" w:name="_Toc24269"/>
      <w:bookmarkStart w:id="222" w:name="_Toc15476"/>
      <w:r>
        <w:rPr>
          <w:rFonts w:hint="eastAsia" w:ascii="宋体" w:hAnsi="宋体" w:eastAsia="宋体" w:cs="宋体"/>
          <w:b w:val="0"/>
          <w:color w:val="auto"/>
        </w:rPr>
        <w:t>一、磋商函及磋商函附录</w:t>
      </w:r>
      <w:bookmarkEnd w:id="219"/>
      <w:bookmarkEnd w:id="220"/>
      <w:bookmarkEnd w:id="221"/>
      <w:bookmarkEnd w:id="222"/>
    </w:p>
    <w:p>
      <w:pPr>
        <w:pStyle w:val="7"/>
        <w:spacing w:line="312" w:lineRule="auto"/>
        <w:jc w:val="center"/>
        <w:rPr>
          <w:rFonts w:ascii="宋体" w:hAnsi="宋体" w:cs="宋体"/>
          <w:b w:val="0"/>
          <w:color w:val="auto"/>
          <w:sz w:val="28"/>
          <w:szCs w:val="18"/>
        </w:rPr>
      </w:pPr>
      <w:bookmarkStart w:id="223" w:name="_Toc411773167"/>
      <w:bookmarkStart w:id="224" w:name="_Toc449518926"/>
      <w:bookmarkStart w:id="225" w:name="_Toc449519139"/>
      <w:bookmarkStart w:id="226" w:name="_Toc354066001"/>
      <w:bookmarkStart w:id="227" w:name="_Toc3154"/>
      <w:bookmarkStart w:id="228" w:name="_Toc429345235"/>
      <w:bookmarkStart w:id="229" w:name="_Toc152045789"/>
      <w:bookmarkStart w:id="230" w:name="_Toc347385770"/>
      <w:bookmarkStart w:id="231" w:name="_Toc364364588"/>
      <w:bookmarkStart w:id="232" w:name="_Toc247085875"/>
      <w:bookmarkStart w:id="233" w:name="_Toc246996357"/>
      <w:bookmarkStart w:id="234" w:name="_Toc179632809"/>
      <w:bookmarkStart w:id="235" w:name="_Toc4457"/>
      <w:bookmarkStart w:id="236" w:name="_Toc246997100"/>
      <w:bookmarkStart w:id="237" w:name="_Toc152042578"/>
      <w:bookmarkStart w:id="238" w:name="_Toc144974858"/>
      <w:r>
        <w:rPr>
          <w:rFonts w:hint="eastAsia" w:ascii="宋体" w:hAnsi="宋体" w:cs="宋体"/>
          <w:b w:val="0"/>
          <w:color w:val="auto"/>
          <w:sz w:val="28"/>
          <w:szCs w:val="18"/>
        </w:rPr>
        <w:t>（一）</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宋体" w:hAnsi="宋体" w:cs="宋体"/>
          <w:b w:val="0"/>
          <w:color w:val="auto"/>
          <w:sz w:val="28"/>
          <w:szCs w:val="18"/>
        </w:rPr>
        <w:t>磋商函</w:t>
      </w:r>
    </w:p>
    <w:p>
      <w:pPr>
        <w:spacing w:line="312" w:lineRule="auto"/>
        <w:rPr>
          <w:rFonts w:ascii="宋体" w:hAnsi="宋体" w:cs="宋体"/>
          <w:bCs/>
          <w:color w:val="auto"/>
          <w:sz w:val="21"/>
          <w:szCs w:val="21"/>
        </w:rPr>
      </w:pPr>
      <w:r>
        <w:rPr>
          <w:rFonts w:hint="eastAsia" w:ascii="宋体" w:hAnsi="宋体" w:cs="宋体"/>
          <w:bCs/>
          <w:color w:val="auto"/>
          <w:sz w:val="21"/>
          <w:szCs w:val="21"/>
          <w:u w:val="single"/>
        </w:rPr>
        <w:t xml:space="preserve">                        </w:t>
      </w:r>
      <w:r>
        <w:rPr>
          <w:rFonts w:hint="eastAsia" w:ascii="宋体" w:hAnsi="宋体" w:cs="宋体"/>
          <w:bCs/>
          <w:color w:val="auto"/>
          <w:sz w:val="21"/>
          <w:szCs w:val="21"/>
        </w:rPr>
        <w:t>（采购人名称）：</w:t>
      </w:r>
    </w:p>
    <w:p>
      <w:pPr>
        <w:spacing w:line="312" w:lineRule="auto"/>
        <w:rPr>
          <w:rFonts w:ascii="宋体" w:hAnsi="宋体" w:cs="宋体"/>
          <w:bCs/>
          <w:color w:val="auto"/>
          <w:sz w:val="21"/>
          <w:szCs w:val="21"/>
        </w:rPr>
      </w:pP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1．我方已仔细研究了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（项目名称）竞争性磋商文件的全部内容，愿意以人民币（大写）</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）的磋商总报价，</w:t>
      </w:r>
      <w:r>
        <w:rPr>
          <w:rFonts w:hint="eastAsia" w:ascii="宋体" w:hAnsi="宋体" w:cs="宋体"/>
          <w:color w:val="auto"/>
          <w:sz w:val="21"/>
          <w:szCs w:val="21"/>
        </w:rPr>
        <w:t>合同履行期限（计划</w:t>
      </w:r>
      <w:r>
        <w:rPr>
          <w:rFonts w:hint="eastAsia" w:ascii="宋体" w:hAnsi="宋体" w:cs="宋体"/>
          <w:bCs/>
          <w:color w:val="auto"/>
          <w:sz w:val="21"/>
          <w:szCs w:val="21"/>
        </w:rPr>
        <w:t>工期</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bCs/>
          <w:color w:val="auto"/>
          <w:sz w:val="21"/>
          <w:szCs w:val="21"/>
        </w:rPr>
        <w:t>，按合同约定实施和完成承包工程，修补工程中的任何缺陷，工程质量达到</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2．我方承诺在竞争性磋商文件规定的磋商有效期内不修改、撤销响应文件。</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3．随同本磋商函提交磋商保证金一份，金额为人民币（大写）</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4．如我方成交：</w:t>
      </w:r>
    </w:p>
    <w:p>
      <w:pPr>
        <w:spacing w:line="312" w:lineRule="auto"/>
        <w:ind w:firstLine="718" w:firstLineChars="342"/>
        <w:rPr>
          <w:rFonts w:ascii="宋体" w:hAnsi="宋体" w:cs="宋体"/>
          <w:bCs/>
          <w:color w:val="auto"/>
          <w:sz w:val="21"/>
          <w:szCs w:val="21"/>
        </w:rPr>
      </w:pPr>
      <w:r>
        <w:rPr>
          <w:rFonts w:hint="eastAsia" w:ascii="宋体" w:hAnsi="宋体" w:cs="宋体"/>
          <w:bCs/>
          <w:color w:val="auto"/>
          <w:sz w:val="21"/>
          <w:szCs w:val="21"/>
        </w:rPr>
        <w:t>（1）我方承诺在收到成交通知书后，在成交通知书规定的期限内与你方签订合同。</w:t>
      </w:r>
    </w:p>
    <w:p>
      <w:pPr>
        <w:spacing w:line="312" w:lineRule="auto"/>
        <w:ind w:firstLine="718" w:firstLineChars="342"/>
        <w:rPr>
          <w:rFonts w:ascii="宋体" w:hAnsi="宋体" w:cs="宋体"/>
          <w:bCs/>
          <w:color w:val="auto"/>
          <w:sz w:val="21"/>
          <w:szCs w:val="21"/>
        </w:rPr>
      </w:pPr>
      <w:r>
        <w:rPr>
          <w:rFonts w:hint="eastAsia" w:ascii="宋体" w:hAnsi="宋体" w:cs="宋体"/>
          <w:bCs/>
          <w:color w:val="auto"/>
          <w:sz w:val="21"/>
          <w:szCs w:val="21"/>
        </w:rPr>
        <w:t>（2）随同本磋商函递交的磋商函附录属于合同文件的组成部分。</w:t>
      </w:r>
    </w:p>
    <w:p>
      <w:pPr>
        <w:spacing w:line="312" w:lineRule="auto"/>
        <w:ind w:firstLine="718" w:firstLineChars="342"/>
        <w:rPr>
          <w:rFonts w:ascii="宋体" w:hAnsi="宋体" w:cs="宋体"/>
          <w:color w:val="auto"/>
          <w:kern w:val="0"/>
          <w:sz w:val="21"/>
          <w:szCs w:val="21"/>
        </w:rPr>
      </w:pPr>
      <w:r>
        <w:rPr>
          <w:rFonts w:hint="eastAsia" w:ascii="宋体" w:hAnsi="宋体" w:cs="宋体"/>
          <w:bCs/>
          <w:color w:val="auto"/>
          <w:sz w:val="21"/>
          <w:szCs w:val="21"/>
        </w:rPr>
        <w:t>（3）我方承诺在合同约定的期限内完成并移交全部合同工程</w:t>
      </w:r>
      <w:r>
        <w:rPr>
          <w:rFonts w:hint="eastAsia" w:ascii="宋体" w:hAnsi="宋体" w:cs="宋体"/>
          <w:color w:val="auto"/>
          <w:kern w:val="0"/>
          <w:sz w:val="21"/>
          <w:szCs w:val="21"/>
        </w:rPr>
        <w:t>。</w:t>
      </w:r>
    </w:p>
    <w:p>
      <w:pPr>
        <w:spacing w:line="312" w:lineRule="auto"/>
        <w:ind w:firstLine="718" w:firstLineChars="342"/>
        <w:rPr>
          <w:rFonts w:ascii="宋体" w:hAnsi="宋体" w:cs="宋体"/>
          <w:bCs/>
          <w:color w:val="auto"/>
          <w:sz w:val="21"/>
          <w:szCs w:val="21"/>
        </w:rPr>
      </w:pPr>
      <w:r>
        <w:rPr>
          <w:rFonts w:hint="eastAsia" w:ascii="宋体" w:hAnsi="宋体" w:cs="宋体"/>
          <w:color w:val="auto"/>
          <w:kern w:val="0"/>
          <w:sz w:val="21"/>
          <w:szCs w:val="21"/>
        </w:rPr>
        <w:t>（4）我方承诺按照竞争性磋商文件规定向你方递交履约担保。</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5．我方在此声明，所递交的响应文件及有关资料内容完整、真实和准确，且不存在第二章“供应商须知”第1.4.3项情形。</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6．</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（其他补充说明）。</w:t>
      </w:r>
    </w:p>
    <w:p>
      <w:pPr>
        <w:spacing w:line="312" w:lineRule="auto"/>
        <w:rPr>
          <w:rFonts w:ascii="宋体" w:hAnsi="宋体" w:cs="宋体"/>
          <w:bCs/>
          <w:color w:val="auto"/>
          <w:sz w:val="21"/>
          <w:szCs w:val="21"/>
        </w:rPr>
      </w:pP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供应商：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（盖单位章）</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法定代表人或其委托代理人：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（签字）</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地址：</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网址：</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电话：</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传真：</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邮政编码：</w:t>
      </w:r>
      <w:r>
        <w:rPr>
          <w:rFonts w:hint="eastAsia" w:ascii="宋体" w:hAnsi="宋体" w:cs="宋体"/>
          <w:bCs/>
          <w:color w:val="auto"/>
          <w:sz w:val="21"/>
          <w:szCs w:val="21"/>
          <w:u w:val="single"/>
        </w:rPr>
        <w:t xml:space="preserve">                                 </w:t>
      </w:r>
    </w:p>
    <w:p>
      <w:pPr>
        <w:spacing w:line="312" w:lineRule="auto"/>
        <w:ind w:firstLine="5040" w:firstLineChars="2400"/>
        <w:rPr>
          <w:rFonts w:ascii="宋体" w:hAnsi="宋体" w:cs="宋体"/>
          <w:bCs/>
          <w:color w:val="auto"/>
          <w:sz w:val="21"/>
          <w:szCs w:val="21"/>
        </w:rPr>
      </w:pP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日</w:t>
      </w:r>
    </w:p>
    <w:p>
      <w:pPr>
        <w:spacing w:line="312" w:lineRule="auto"/>
        <w:rPr>
          <w:rFonts w:ascii="宋体" w:hAnsi="宋体" w:cs="宋体"/>
          <w:bCs/>
          <w:color w:val="auto"/>
          <w:szCs w:val="21"/>
        </w:rPr>
      </w:pPr>
    </w:p>
    <w:p>
      <w:pPr>
        <w:spacing w:line="312" w:lineRule="auto"/>
        <w:rPr>
          <w:rFonts w:ascii="宋体" w:hAnsi="宋体" w:cs="宋体"/>
          <w:bCs/>
          <w:color w:val="auto"/>
          <w:sz w:val="20"/>
        </w:rPr>
      </w:pPr>
      <w:r>
        <w:rPr>
          <w:rFonts w:hint="eastAsia" w:ascii="宋体" w:hAnsi="宋体" w:cs="宋体"/>
          <w:bCs/>
          <w:color w:val="auto"/>
          <w:sz w:val="20"/>
        </w:rPr>
        <w:br w:type="page"/>
      </w:r>
    </w:p>
    <w:p>
      <w:pPr>
        <w:pStyle w:val="7"/>
        <w:spacing w:line="312" w:lineRule="auto"/>
        <w:jc w:val="center"/>
        <w:rPr>
          <w:rFonts w:ascii="宋体" w:hAnsi="宋体" w:cs="宋体"/>
          <w:b w:val="0"/>
          <w:color w:val="auto"/>
        </w:rPr>
      </w:pPr>
      <w:bookmarkStart w:id="239" w:name="_Toc364364589"/>
      <w:bookmarkStart w:id="240" w:name="_Toc411773168"/>
      <w:bookmarkStart w:id="241" w:name="_Toc246997101"/>
      <w:bookmarkStart w:id="242" w:name="_Toc429345236"/>
      <w:bookmarkStart w:id="243" w:name="_Toc246996358"/>
      <w:bookmarkStart w:id="244" w:name="_Toc10425"/>
      <w:bookmarkStart w:id="245" w:name="_Toc152042579"/>
      <w:bookmarkStart w:id="246" w:name="_Toc449518927"/>
      <w:bookmarkStart w:id="247" w:name="_Toc144974859"/>
      <w:bookmarkStart w:id="248" w:name="_Toc247085876"/>
      <w:bookmarkStart w:id="249" w:name="_Toc347385771"/>
      <w:bookmarkStart w:id="250" w:name="_Toc152045790"/>
      <w:bookmarkStart w:id="251" w:name="_Toc449519140"/>
      <w:bookmarkStart w:id="252" w:name="_Toc179632810"/>
      <w:bookmarkStart w:id="253" w:name="_Toc354066002"/>
      <w:bookmarkStart w:id="254" w:name="_Toc1823"/>
      <w:r>
        <w:rPr>
          <w:rFonts w:hint="eastAsia" w:ascii="宋体" w:hAnsi="宋体" w:cs="宋体"/>
          <w:b w:val="0"/>
          <w:color w:val="auto"/>
        </w:rPr>
        <w:t>（二）磋商函附录</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479"/>
        <w:gridCol w:w="4584"/>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 w:type="pct"/>
            <w:vAlign w:val="center"/>
          </w:tcPr>
          <w:p>
            <w:pPr>
              <w:spacing w:line="440" w:lineRule="exact"/>
              <w:jc w:val="center"/>
              <w:rPr>
                <w:rFonts w:ascii="宋体" w:hAnsi="宋体" w:cs="宋体"/>
                <w:b/>
                <w:color w:val="auto"/>
                <w:sz w:val="21"/>
                <w:szCs w:val="21"/>
              </w:rPr>
            </w:pPr>
            <w:bookmarkStart w:id="255" w:name="_Toc2801"/>
            <w:r>
              <w:rPr>
                <w:rFonts w:hint="eastAsia" w:ascii="宋体" w:hAnsi="宋体" w:cs="宋体"/>
                <w:b/>
                <w:color w:val="auto"/>
                <w:sz w:val="21"/>
                <w:szCs w:val="21"/>
              </w:rPr>
              <w:t>序号</w:t>
            </w:r>
          </w:p>
        </w:tc>
        <w:tc>
          <w:tcPr>
            <w:tcW w:w="1258" w:type="pct"/>
            <w:vAlign w:val="center"/>
          </w:tcPr>
          <w:p>
            <w:pPr>
              <w:spacing w:line="440" w:lineRule="exact"/>
              <w:jc w:val="center"/>
              <w:rPr>
                <w:rFonts w:ascii="宋体" w:hAnsi="宋体" w:cs="宋体"/>
                <w:b/>
                <w:color w:val="auto"/>
                <w:sz w:val="21"/>
                <w:szCs w:val="21"/>
              </w:rPr>
            </w:pPr>
            <w:r>
              <w:rPr>
                <w:rFonts w:hint="eastAsia" w:ascii="宋体" w:hAnsi="宋体" w:cs="宋体"/>
                <w:b/>
                <w:color w:val="auto"/>
                <w:sz w:val="21"/>
                <w:szCs w:val="21"/>
              </w:rPr>
              <w:t>条款名称</w:t>
            </w:r>
          </w:p>
        </w:tc>
        <w:tc>
          <w:tcPr>
            <w:tcW w:w="2326" w:type="pct"/>
            <w:vAlign w:val="center"/>
          </w:tcPr>
          <w:p>
            <w:pPr>
              <w:spacing w:line="440" w:lineRule="exact"/>
              <w:jc w:val="center"/>
              <w:rPr>
                <w:rFonts w:ascii="宋体" w:hAnsi="宋体" w:cs="宋体"/>
                <w:b/>
                <w:color w:val="auto"/>
                <w:sz w:val="21"/>
                <w:szCs w:val="21"/>
              </w:rPr>
            </w:pPr>
            <w:r>
              <w:rPr>
                <w:rFonts w:hint="eastAsia" w:ascii="宋体" w:hAnsi="宋体" w:cs="宋体"/>
                <w:b/>
                <w:color w:val="auto"/>
                <w:sz w:val="21"/>
                <w:szCs w:val="21"/>
              </w:rPr>
              <w:t>约定内容</w:t>
            </w:r>
          </w:p>
        </w:tc>
        <w:tc>
          <w:tcPr>
            <w:tcW w:w="1066" w:type="pct"/>
            <w:vAlign w:val="center"/>
          </w:tcPr>
          <w:p>
            <w:pPr>
              <w:spacing w:line="440" w:lineRule="exact"/>
              <w:jc w:val="center"/>
              <w:rPr>
                <w:rFonts w:ascii="宋体" w:hAnsi="宋体" w:cs="宋体"/>
                <w:b/>
                <w:color w:val="auto"/>
                <w:sz w:val="21"/>
                <w:szCs w:val="21"/>
              </w:rPr>
            </w:pPr>
            <w:r>
              <w:rPr>
                <w:rFonts w:hint="eastAsia" w:ascii="宋体" w:hAnsi="宋体" w:cs="宋体"/>
                <w:b/>
                <w:color w:val="auto"/>
                <w:sz w:val="21"/>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1</w:t>
            </w:r>
          </w:p>
        </w:tc>
        <w:tc>
          <w:tcPr>
            <w:tcW w:w="1258"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项目经理</w:t>
            </w:r>
          </w:p>
        </w:tc>
        <w:tc>
          <w:tcPr>
            <w:tcW w:w="2326" w:type="pct"/>
            <w:vAlign w:val="center"/>
          </w:tcPr>
          <w:p>
            <w:pPr>
              <w:spacing w:line="440" w:lineRule="exact"/>
              <w:rPr>
                <w:rFonts w:ascii="宋体" w:hAnsi="宋体" w:cs="宋体"/>
                <w:color w:val="auto"/>
                <w:sz w:val="21"/>
                <w:szCs w:val="21"/>
                <w:u w:val="single"/>
              </w:rPr>
            </w:pPr>
            <w:r>
              <w:rPr>
                <w:rFonts w:hint="eastAsia" w:ascii="宋体" w:hAnsi="宋体" w:cs="宋体"/>
                <w:color w:val="auto"/>
                <w:sz w:val="21"/>
                <w:szCs w:val="21"/>
              </w:rPr>
              <w:t>姓名：</w:t>
            </w: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2</w:t>
            </w:r>
          </w:p>
        </w:tc>
        <w:tc>
          <w:tcPr>
            <w:tcW w:w="1258"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合同履行期限</w:t>
            </w:r>
          </w:p>
          <w:p>
            <w:pPr>
              <w:spacing w:line="440" w:lineRule="exact"/>
              <w:jc w:val="center"/>
              <w:rPr>
                <w:rFonts w:ascii="宋体" w:hAnsi="宋体" w:cs="宋体"/>
                <w:color w:val="auto"/>
                <w:sz w:val="21"/>
                <w:szCs w:val="21"/>
              </w:rPr>
            </w:pPr>
            <w:r>
              <w:rPr>
                <w:rFonts w:hint="eastAsia" w:ascii="宋体" w:hAnsi="宋体" w:cs="宋体"/>
                <w:color w:val="auto"/>
                <w:sz w:val="21"/>
                <w:szCs w:val="21"/>
              </w:rPr>
              <w:t>（计划工期）</w:t>
            </w:r>
          </w:p>
        </w:tc>
        <w:tc>
          <w:tcPr>
            <w:tcW w:w="2326" w:type="pct"/>
            <w:vAlign w:val="center"/>
          </w:tcPr>
          <w:p>
            <w:pPr>
              <w:jc w:val="center"/>
              <w:rPr>
                <w:rFonts w:ascii="宋体" w:hAnsi="宋体" w:cs="宋体"/>
                <w:color w:val="auto"/>
                <w:sz w:val="21"/>
                <w:szCs w:val="21"/>
              </w:rPr>
            </w:pP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3</w:t>
            </w:r>
          </w:p>
        </w:tc>
        <w:tc>
          <w:tcPr>
            <w:tcW w:w="1258"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质保期</w:t>
            </w:r>
          </w:p>
        </w:tc>
        <w:tc>
          <w:tcPr>
            <w:tcW w:w="2326" w:type="pct"/>
            <w:vAlign w:val="center"/>
          </w:tcPr>
          <w:p>
            <w:pPr>
              <w:jc w:val="left"/>
              <w:rPr>
                <w:rFonts w:ascii="宋体" w:hAnsi="宋体" w:cs="宋体"/>
                <w:color w:val="auto"/>
                <w:sz w:val="21"/>
                <w:szCs w:val="21"/>
              </w:rPr>
            </w:pP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4</w:t>
            </w:r>
          </w:p>
        </w:tc>
        <w:tc>
          <w:tcPr>
            <w:tcW w:w="1258" w:type="pct"/>
            <w:vAlign w:val="center"/>
          </w:tcPr>
          <w:p>
            <w:pPr>
              <w:autoSpaceDE w:val="0"/>
              <w:autoSpaceDN w:val="0"/>
              <w:adjustRightInd w:val="0"/>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磋商有效期</w:t>
            </w:r>
          </w:p>
        </w:tc>
        <w:tc>
          <w:tcPr>
            <w:tcW w:w="2326" w:type="pct"/>
            <w:vAlign w:val="center"/>
          </w:tcPr>
          <w:p>
            <w:pPr>
              <w:autoSpaceDE w:val="0"/>
              <w:autoSpaceDN w:val="0"/>
              <w:adjustRightInd w:val="0"/>
              <w:spacing w:line="240" w:lineRule="exact"/>
              <w:rPr>
                <w:rFonts w:ascii="宋体" w:hAnsi="宋体" w:cs="宋体"/>
                <w:color w:val="auto"/>
                <w:kern w:val="0"/>
                <w:sz w:val="21"/>
                <w:szCs w:val="21"/>
              </w:rPr>
            </w:pPr>
            <w:r>
              <w:rPr>
                <w:rFonts w:hint="eastAsia" w:ascii="宋体" w:hAnsi="宋体" w:cs="宋体"/>
                <w:color w:val="auto"/>
                <w:kern w:val="0"/>
                <w:sz w:val="21"/>
                <w:szCs w:val="21"/>
              </w:rPr>
              <w:t>60天</w:t>
            </w: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5</w:t>
            </w:r>
          </w:p>
        </w:tc>
        <w:tc>
          <w:tcPr>
            <w:tcW w:w="1258" w:type="pct"/>
            <w:vAlign w:val="center"/>
          </w:tcPr>
          <w:p>
            <w:pPr>
              <w:autoSpaceDE w:val="0"/>
              <w:autoSpaceDN w:val="0"/>
              <w:adjustRightInd w:val="0"/>
              <w:spacing w:line="240" w:lineRule="exact"/>
              <w:jc w:val="center"/>
              <w:rPr>
                <w:rFonts w:ascii="宋体" w:hAnsi="宋体" w:cs="宋体"/>
                <w:color w:val="auto"/>
                <w:kern w:val="0"/>
                <w:sz w:val="21"/>
                <w:szCs w:val="21"/>
              </w:rPr>
            </w:pPr>
            <w:r>
              <w:rPr>
                <w:rFonts w:hint="eastAsia" w:ascii="宋体" w:hAnsi="宋体" w:cs="宋体"/>
                <w:color w:val="auto"/>
                <w:sz w:val="21"/>
                <w:szCs w:val="21"/>
              </w:rPr>
              <w:t>权利义务</w:t>
            </w:r>
          </w:p>
        </w:tc>
        <w:tc>
          <w:tcPr>
            <w:tcW w:w="2326" w:type="pct"/>
            <w:vAlign w:val="center"/>
          </w:tcPr>
          <w:p>
            <w:pPr>
              <w:autoSpaceDE w:val="0"/>
              <w:autoSpaceDN w:val="0"/>
              <w:adjustRightInd w:val="0"/>
              <w:spacing w:line="240" w:lineRule="exact"/>
              <w:rPr>
                <w:rFonts w:ascii="宋体" w:hAnsi="宋体" w:cs="宋体"/>
                <w:color w:val="auto"/>
                <w:kern w:val="0"/>
                <w:sz w:val="21"/>
                <w:szCs w:val="21"/>
              </w:rPr>
            </w:pPr>
            <w:r>
              <w:rPr>
                <w:rFonts w:hint="eastAsia" w:ascii="宋体" w:hAnsi="宋体" w:cs="宋体"/>
                <w:bCs/>
                <w:color w:val="auto"/>
                <w:sz w:val="21"/>
                <w:szCs w:val="21"/>
                <w:lang w:val="zh-CN"/>
              </w:rPr>
              <w:t>符合第四章“合同文本”规定。</w:t>
            </w: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6</w:t>
            </w:r>
          </w:p>
        </w:tc>
        <w:tc>
          <w:tcPr>
            <w:tcW w:w="2479" w:type="dxa"/>
            <w:vAlign w:val="center"/>
          </w:tcPr>
          <w:p>
            <w:pPr>
              <w:spacing w:line="312" w:lineRule="auto"/>
              <w:jc w:val="center"/>
              <w:rPr>
                <w:rFonts w:ascii="宋体" w:hAnsi="宋体" w:cs="宋体"/>
                <w:color w:val="auto"/>
                <w:kern w:val="0"/>
                <w:sz w:val="21"/>
                <w:szCs w:val="21"/>
              </w:rPr>
            </w:pPr>
            <w:r>
              <w:rPr>
                <w:rFonts w:hint="eastAsia" w:ascii="宋体" w:hAnsi="宋体" w:cs="宋体"/>
                <w:color w:val="auto"/>
                <w:sz w:val="21"/>
                <w:szCs w:val="21"/>
              </w:rPr>
              <w:t>磋商项目需求</w:t>
            </w:r>
          </w:p>
        </w:tc>
        <w:tc>
          <w:tcPr>
            <w:tcW w:w="4584" w:type="dxa"/>
            <w:vAlign w:val="center"/>
          </w:tcPr>
          <w:p>
            <w:pPr>
              <w:spacing w:line="312" w:lineRule="auto"/>
              <w:rPr>
                <w:rFonts w:ascii="宋体" w:hAnsi="宋体" w:cs="宋体"/>
                <w:color w:val="auto"/>
                <w:kern w:val="0"/>
                <w:sz w:val="21"/>
                <w:szCs w:val="21"/>
              </w:rPr>
            </w:pPr>
            <w:r>
              <w:rPr>
                <w:rFonts w:hint="eastAsia" w:ascii="宋体" w:hAnsi="宋体" w:cs="宋体"/>
                <w:color w:val="auto"/>
                <w:sz w:val="21"/>
                <w:szCs w:val="21"/>
              </w:rPr>
              <w:t>符合第三章“磋商项目需求”规定。</w:t>
            </w:r>
          </w:p>
        </w:tc>
        <w:tc>
          <w:tcPr>
            <w:tcW w:w="1066" w:type="pct"/>
            <w:vAlign w:val="center"/>
          </w:tcPr>
          <w:p>
            <w:pPr>
              <w:spacing w:line="440" w:lineRule="exact"/>
              <w:jc w:val="center"/>
              <w:rPr>
                <w:rFonts w:ascii="宋体" w:hAnsi="宋体" w:cs="宋体"/>
                <w:color w:val="auto"/>
                <w:sz w:val="21"/>
                <w:szCs w:val="21"/>
              </w:rPr>
            </w:pPr>
          </w:p>
        </w:tc>
      </w:tr>
    </w:tbl>
    <w:p>
      <w:pPr>
        <w:pStyle w:val="6"/>
        <w:spacing w:line="312" w:lineRule="auto"/>
        <w:jc w:val="center"/>
        <w:rPr>
          <w:rFonts w:ascii="宋体" w:hAnsi="宋体" w:eastAsia="宋体" w:cs="宋体"/>
          <w:b w:val="0"/>
          <w:color w:val="auto"/>
        </w:rPr>
      </w:pPr>
      <w:r>
        <w:rPr>
          <w:rFonts w:hint="eastAsia" w:ascii="宋体" w:hAnsi="宋体" w:eastAsia="宋体" w:cs="宋体"/>
          <w:b w:val="0"/>
          <w:color w:val="auto"/>
          <w:sz w:val="20"/>
        </w:rPr>
        <w:br w:type="page"/>
      </w:r>
      <w:bookmarkStart w:id="256" w:name="_Toc449519141"/>
      <w:bookmarkStart w:id="257" w:name="_Toc2600"/>
      <w:bookmarkStart w:id="258" w:name="_Toc2786"/>
      <w:bookmarkStart w:id="259" w:name="_Toc20563"/>
      <w:r>
        <w:rPr>
          <w:rFonts w:hint="eastAsia" w:ascii="宋体" w:hAnsi="宋体" w:eastAsia="宋体" w:cs="宋体"/>
          <w:b w:val="0"/>
          <w:color w:val="auto"/>
          <w:sz w:val="28"/>
          <w:szCs w:val="18"/>
        </w:rPr>
        <w:t>二、报价一览表</w:t>
      </w:r>
      <w:bookmarkEnd w:id="255"/>
      <w:bookmarkEnd w:id="256"/>
      <w:bookmarkEnd w:id="257"/>
      <w:bookmarkEnd w:id="258"/>
      <w:bookmarkEnd w:id="259"/>
    </w:p>
    <w:p>
      <w:pPr>
        <w:spacing w:line="312" w:lineRule="auto"/>
        <w:ind w:left="-3" w:leftChars="-1" w:firstLine="110" w:firstLineChars="50"/>
        <w:rPr>
          <w:rFonts w:ascii="宋体" w:hAnsi="宋体" w:cs="宋体"/>
          <w:bCs/>
          <w:color w:val="auto"/>
          <w:sz w:val="22"/>
          <w:szCs w:val="18"/>
          <w:u w:val="single"/>
        </w:rPr>
      </w:pPr>
      <w:r>
        <w:rPr>
          <w:rFonts w:hint="eastAsia" w:ascii="宋体" w:hAnsi="宋体" w:cs="宋体"/>
          <w:bCs/>
          <w:color w:val="auto"/>
          <w:sz w:val="22"/>
          <w:szCs w:val="18"/>
        </w:rPr>
        <w:t>项 目 名 称 ：</w:t>
      </w:r>
    </w:p>
    <w:p>
      <w:pPr>
        <w:spacing w:line="312" w:lineRule="auto"/>
        <w:ind w:left="-3" w:leftChars="-1" w:firstLine="110" w:firstLineChars="50"/>
        <w:rPr>
          <w:rFonts w:ascii="宋体" w:hAnsi="宋体" w:cs="宋体"/>
          <w:bCs/>
          <w:color w:val="auto"/>
          <w:sz w:val="22"/>
          <w:szCs w:val="18"/>
        </w:rPr>
      </w:pPr>
      <w:r>
        <w:rPr>
          <w:rFonts w:hint="eastAsia" w:ascii="宋体" w:hAnsi="宋体" w:cs="宋体"/>
          <w:bCs/>
          <w:color w:val="auto"/>
          <w:sz w:val="22"/>
          <w:szCs w:val="18"/>
        </w:rPr>
        <w:t>项目编号：</w:t>
      </w:r>
    </w:p>
    <w:tbl>
      <w:tblPr>
        <w:tblStyle w:val="58"/>
        <w:tblW w:w="100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5"/>
        <w:gridCol w:w="2883"/>
        <w:gridCol w:w="1913"/>
        <w:gridCol w:w="3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供应商</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资质等级</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磋商报价</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bCs/>
                <w:color w:val="auto"/>
                <w:sz w:val="21"/>
                <w:szCs w:val="21"/>
              </w:rPr>
            </w:pPr>
            <w:r>
              <w:rPr>
                <w:rFonts w:hint="eastAsia" w:ascii="宋体" w:hAnsi="宋体" w:cs="宋体"/>
                <w:bCs/>
                <w:color w:val="auto"/>
                <w:sz w:val="21"/>
                <w:szCs w:val="21"/>
              </w:rPr>
              <w:t xml:space="preserve">大写：             </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小写：             万元</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磋商保证金</w:t>
            </w:r>
          </w:p>
          <w:p>
            <w:pPr>
              <w:spacing w:line="312" w:lineRule="auto"/>
              <w:jc w:val="center"/>
              <w:rPr>
                <w:rFonts w:ascii="宋体" w:hAnsi="宋体" w:cs="宋体"/>
                <w:bCs/>
                <w:color w:val="auto"/>
                <w:sz w:val="21"/>
                <w:szCs w:val="21"/>
              </w:rPr>
            </w:pPr>
            <w:r>
              <w:rPr>
                <w:rFonts w:hint="eastAsia" w:ascii="宋体" w:hAnsi="宋体" w:cs="宋体"/>
                <w:bCs/>
                <w:color w:val="auto"/>
                <w:sz w:val="21"/>
                <w:szCs w:val="21"/>
              </w:rPr>
              <w:t>（有/无）</w:t>
            </w:r>
          </w:p>
        </w:tc>
        <w:tc>
          <w:tcPr>
            <w:tcW w:w="342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质量标准</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 xml:space="preserve"> </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合同履行期限</w:t>
            </w:r>
          </w:p>
          <w:p>
            <w:pPr>
              <w:spacing w:line="312" w:lineRule="auto"/>
              <w:jc w:val="center"/>
              <w:rPr>
                <w:rFonts w:ascii="宋体" w:hAnsi="宋体" w:cs="宋体"/>
                <w:bCs/>
                <w:color w:val="auto"/>
                <w:sz w:val="21"/>
                <w:szCs w:val="21"/>
              </w:rPr>
            </w:pPr>
            <w:r>
              <w:rPr>
                <w:rFonts w:hint="eastAsia" w:ascii="宋体" w:hAnsi="宋体" w:cs="宋体"/>
                <w:color w:val="auto"/>
                <w:sz w:val="21"/>
                <w:szCs w:val="21"/>
              </w:rPr>
              <w:t>（计划</w:t>
            </w:r>
            <w:r>
              <w:rPr>
                <w:rFonts w:hint="eastAsia" w:ascii="宋体" w:hAnsi="宋体" w:cs="宋体"/>
                <w:bCs/>
                <w:color w:val="auto"/>
                <w:sz w:val="21"/>
                <w:szCs w:val="21"/>
              </w:rPr>
              <w:t>工期</w:t>
            </w:r>
            <w:r>
              <w:rPr>
                <w:rFonts w:hint="eastAsia" w:ascii="宋体" w:hAnsi="宋体" w:cs="宋体"/>
                <w:color w:val="auto"/>
                <w:sz w:val="21"/>
                <w:szCs w:val="21"/>
              </w:rPr>
              <w:t>）</w:t>
            </w:r>
          </w:p>
        </w:tc>
        <w:tc>
          <w:tcPr>
            <w:tcW w:w="342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优惠条件</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服务承诺</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ind w:firstLine="420" w:firstLineChars="200"/>
              <w:rPr>
                <w:rFonts w:ascii="宋体" w:hAnsi="宋体" w:cs="宋体"/>
                <w:bCs/>
                <w:color w:val="auto"/>
                <w:sz w:val="21"/>
                <w:szCs w:val="21"/>
              </w:rPr>
            </w:pPr>
          </w:p>
        </w:tc>
      </w:tr>
      <w:tr>
        <w:tblPrEx>
          <w:tblCellMar>
            <w:top w:w="0" w:type="dxa"/>
            <w:left w:w="108" w:type="dxa"/>
            <w:bottom w:w="0" w:type="dxa"/>
            <w:right w:w="108" w:type="dxa"/>
          </w:tblCellMar>
        </w:tblPrEx>
        <w:trPr>
          <w:trHeight w:val="1094"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8221" w:type="dxa"/>
            <w:gridSpan w:val="3"/>
            <w:tcBorders>
              <w:top w:val="single" w:color="auto" w:sz="4" w:space="0"/>
              <w:left w:val="single" w:color="auto" w:sz="4" w:space="0"/>
              <w:bottom w:val="single" w:color="auto" w:sz="4" w:space="0"/>
              <w:right w:val="single" w:color="auto" w:sz="4" w:space="0"/>
            </w:tcBorders>
          </w:tcPr>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填报的内容必须和响应文件及磋商函中的内容一致。</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磋商报价为本项目所有工程项目报价的总和。</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优惠条件、服务承诺两项，详细内容必须在响应文件中载明，如内容较多，本表只填写“有”“无”即可。</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磋商报价小数点后保留四位有效数字。</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本表为开标时唱标用，应单独用信封密封、送达。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10037"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供应商：        （盖章）                委托代理人：          （签字或盖章）</w:t>
            </w:r>
          </w:p>
          <w:p>
            <w:pPr>
              <w:spacing w:line="312" w:lineRule="auto"/>
              <w:rPr>
                <w:rFonts w:ascii="宋体" w:hAnsi="宋体" w:cs="宋体"/>
                <w:bCs/>
                <w:color w:val="auto"/>
                <w:sz w:val="21"/>
                <w:szCs w:val="21"/>
              </w:rPr>
            </w:pPr>
          </w:p>
        </w:tc>
      </w:tr>
    </w:tbl>
    <w:p>
      <w:pPr>
        <w:spacing w:line="312" w:lineRule="auto"/>
        <w:jc w:val="center"/>
        <w:rPr>
          <w:rFonts w:ascii="宋体" w:hAnsi="宋体" w:cs="宋体"/>
          <w:bCs/>
          <w:color w:val="auto"/>
          <w:sz w:val="20"/>
        </w:rPr>
      </w:pPr>
      <w:r>
        <w:rPr>
          <w:rFonts w:hint="eastAsia" w:ascii="宋体" w:hAnsi="宋体" w:cs="宋体"/>
          <w:bCs/>
          <w:color w:val="auto"/>
          <w:sz w:val="20"/>
        </w:rPr>
        <w:br w:type="page"/>
      </w:r>
    </w:p>
    <w:p>
      <w:pPr>
        <w:pStyle w:val="6"/>
        <w:spacing w:line="312" w:lineRule="auto"/>
        <w:jc w:val="center"/>
        <w:rPr>
          <w:rFonts w:ascii="宋体" w:hAnsi="宋体" w:eastAsia="宋体" w:cs="宋体"/>
          <w:b w:val="0"/>
          <w:color w:val="auto"/>
        </w:rPr>
      </w:pPr>
      <w:bookmarkStart w:id="260" w:name="_Toc28183"/>
      <w:bookmarkStart w:id="261" w:name="_Toc27562"/>
      <w:bookmarkStart w:id="262" w:name="_Toc2719"/>
      <w:bookmarkStart w:id="263" w:name="_Toc24381"/>
      <w:bookmarkStart w:id="264" w:name="_Toc179632811"/>
      <w:bookmarkStart w:id="265" w:name="_Toc247085877"/>
      <w:bookmarkStart w:id="266" w:name="_Toc246996359"/>
      <w:bookmarkStart w:id="267" w:name="_Toc246997102"/>
      <w:bookmarkStart w:id="268" w:name="_Toc152042580"/>
      <w:bookmarkStart w:id="269" w:name="_Toc144974860"/>
      <w:bookmarkStart w:id="270" w:name="_Toc449519142"/>
      <w:bookmarkStart w:id="271" w:name="_Toc152045791"/>
      <w:r>
        <w:rPr>
          <w:rFonts w:hint="eastAsia" w:ascii="宋体" w:hAnsi="宋体" w:eastAsia="宋体" w:cs="宋体"/>
          <w:b w:val="0"/>
          <w:color w:val="auto"/>
        </w:rPr>
        <w:t>三、法定代表人身份证明或附有法定代表人身份证明的授权委托书</w:t>
      </w:r>
      <w:bookmarkEnd w:id="260"/>
      <w:bookmarkEnd w:id="261"/>
      <w:bookmarkEnd w:id="262"/>
      <w:bookmarkEnd w:id="263"/>
    </w:p>
    <w:p>
      <w:pPr>
        <w:pStyle w:val="6"/>
        <w:spacing w:line="312" w:lineRule="auto"/>
        <w:jc w:val="center"/>
        <w:rPr>
          <w:rFonts w:ascii="宋体" w:hAnsi="宋体" w:eastAsia="宋体" w:cs="宋体"/>
          <w:b w:val="0"/>
          <w:color w:val="auto"/>
          <w:sz w:val="28"/>
          <w:szCs w:val="18"/>
        </w:rPr>
      </w:pPr>
      <w:bookmarkStart w:id="272" w:name="_Toc24938"/>
      <w:bookmarkStart w:id="273" w:name="_Toc12728"/>
      <w:bookmarkStart w:id="274" w:name="_Toc27213"/>
      <w:bookmarkStart w:id="275" w:name="_Toc5310"/>
      <w:r>
        <w:rPr>
          <w:rFonts w:hint="eastAsia" w:ascii="宋体" w:hAnsi="宋体" w:eastAsia="宋体" w:cs="宋体"/>
          <w:b w:val="0"/>
          <w:color w:val="auto"/>
          <w:sz w:val="28"/>
          <w:szCs w:val="18"/>
        </w:rPr>
        <w:t>（一）法定代表人身份证明</w:t>
      </w:r>
      <w:bookmarkEnd w:id="264"/>
      <w:bookmarkEnd w:id="265"/>
      <w:bookmarkEnd w:id="266"/>
      <w:bookmarkEnd w:id="267"/>
      <w:bookmarkEnd w:id="268"/>
      <w:bookmarkEnd w:id="269"/>
      <w:bookmarkEnd w:id="270"/>
      <w:bookmarkEnd w:id="271"/>
      <w:bookmarkEnd w:id="272"/>
      <w:bookmarkEnd w:id="273"/>
      <w:bookmarkEnd w:id="274"/>
      <w:bookmarkEnd w:id="275"/>
    </w:p>
    <w:p>
      <w:pPr>
        <w:spacing w:line="312" w:lineRule="auto"/>
        <w:rPr>
          <w:rFonts w:ascii="宋体" w:hAnsi="宋体" w:cs="宋体"/>
          <w:bCs/>
          <w:color w:val="auto"/>
          <w:sz w:val="20"/>
        </w:rPr>
      </w:pPr>
    </w:p>
    <w:p>
      <w:pPr>
        <w:spacing w:line="312" w:lineRule="auto"/>
        <w:rPr>
          <w:rFonts w:ascii="宋体" w:hAnsi="宋体" w:cs="宋体"/>
          <w:bCs/>
          <w:color w:val="auto"/>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供应商名称：</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单位性质：</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地址：</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成立时间：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日</w:t>
      </w:r>
    </w:p>
    <w:p>
      <w:pPr>
        <w:spacing w:line="312" w:lineRule="auto"/>
        <w:rPr>
          <w:rFonts w:ascii="宋体" w:hAnsi="宋体" w:cs="宋体"/>
          <w:bCs/>
          <w:color w:val="auto"/>
          <w:sz w:val="21"/>
          <w:szCs w:val="21"/>
        </w:rPr>
      </w:pPr>
      <w:r>
        <w:rPr>
          <w:rFonts w:hint="eastAsia" w:ascii="宋体" w:hAnsi="宋体" w:cs="宋体"/>
          <w:bCs/>
          <w:color w:val="auto"/>
          <w:sz w:val="21"/>
          <w:szCs w:val="21"/>
        </w:rPr>
        <w:t>经营期限：</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姓名：</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性别：</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年龄：</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职务：</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系</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（供应商名称）的法定代表人。</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特此证明。</w:t>
      </w:r>
    </w:p>
    <w:p>
      <w:pPr>
        <w:spacing w:line="312" w:lineRule="auto"/>
        <w:ind w:firstLine="420" w:firstLineChars="200"/>
        <w:jc w:val="left"/>
        <w:rPr>
          <w:rFonts w:ascii="宋体" w:hAnsi="宋体" w:cs="宋体"/>
          <w:bCs/>
          <w:color w:val="auto"/>
          <w:kern w:val="0"/>
          <w:sz w:val="21"/>
          <w:szCs w:val="21"/>
        </w:rPr>
      </w:pPr>
      <w:r>
        <w:rPr>
          <w:rFonts w:hint="eastAsia" w:ascii="宋体" w:hAnsi="宋体" w:cs="宋体"/>
          <w:bCs/>
          <w:color w:val="auto"/>
          <w:kern w:val="0"/>
          <w:sz w:val="21"/>
          <w:szCs w:val="21"/>
        </w:rPr>
        <w:t>附：法定代表人身份证明</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供应商：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（盖单位章）</w:t>
      </w: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日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pStyle w:val="6"/>
        <w:spacing w:line="312" w:lineRule="auto"/>
        <w:jc w:val="center"/>
        <w:rPr>
          <w:rFonts w:ascii="宋体" w:hAnsi="宋体" w:eastAsia="宋体" w:cs="宋体"/>
          <w:b w:val="0"/>
          <w:color w:val="auto"/>
        </w:rPr>
      </w:pPr>
      <w:bookmarkStart w:id="276" w:name="_Toc144974861"/>
      <w:bookmarkStart w:id="277" w:name="_Toc152042581"/>
      <w:bookmarkStart w:id="278" w:name="_Toc246997103"/>
      <w:bookmarkStart w:id="279" w:name="_Toc246996360"/>
      <w:bookmarkStart w:id="280" w:name="_Toc179632812"/>
      <w:bookmarkStart w:id="281" w:name="_Toc449519143"/>
      <w:bookmarkStart w:id="282" w:name="_Toc247085878"/>
      <w:bookmarkStart w:id="283" w:name="_Toc152045792"/>
      <w:r>
        <w:rPr>
          <w:rFonts w:hint="eastAsia" w:ascii="宋体" w:hAnsi="宋体" w:eastAsia="宋体" w:cs="宋体"/>
          <w:b w:val="0"/>
          <w:color w:val="auto"/>
        </w:rPr>
        <w:br w:type="page"/>
      </w:r>
      <w:bookmarkStart w:id="284" w:name="_Toc26482"/>
      <w:bookmarkStart w:id="285" w:name="_Toc14155"/>
      <w:bookmarkStart w:id="286" w:name="_Toc10030"/>
      <w:bookmarkStart w:id="287" w:name="_Toc13790"/>
      <w:r>
        <w:rPr>
          <w:rFonts w:hint="eastAsia" w:ascii="宋体" w:hAnsi="宋体" w:eastAsia="宋体" w:cs="宋体"/>
          <w:b w:val="0"/>
          <w:color w:val="auto"/>
          <w:sz w:val="28"/>
          <w:szCs w:val="18"/>
        </w:rPr>
        <w:t>（二）授权委托书</w:t>
      </w:r>
      <w:bookmarkEnd w:id="276"/>
      <w:bookmarkEnd w:id="277"/>
      <w:bookmarkEnd w:id="278"/>
      <w:bookmarkEnd w:id="279"/>
      <w:bookmarkEnd w:id="280"/>
      <w:bookmarkEnd w:id="281"/>
      <w:bookmarkEnd w:id="282"/>
      <w:bookmarkEnd w:id="283"/>
      <w:bookmarkEnd w:id="284"/>
      <w:bookmarkEnd w:id="285"/>
      <w:bookmarkEnd w:id="286"/>
      <w:bookmarkEnd w:id="287"/>
    </w:p>
    <w:p>
      <w:pPr>
        <w:spacing w:line="312" w:lineRule="auto"/>
        <w:rPr>
          <w:rFonts w:ascii="宋体" w:hAnsi="宋体" w:cs="宋体"/>
          <w:bCs/>
          <w:color w:val="auto"/>
          <w:szCs w:val="21"/>
        </w:rPr>
      </w:pPr>
    </w:p>
    <w:p>
      <w:pPr>
        <w:topLinePunct/>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本人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（姓名）系</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（供应商名称）的法定代表人，现委托</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（姓名）为我方代理人。代理人根据授权，以我方名义签署、澄清、说明、补正、递交、撤回、修改</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（项目名称）响应文件、签订合同和处理有关事宜，其法律后果由我方承担。</w:t>
      </w: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委托期限：</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代理人无转委托权。</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附：法定代表人及委托代理人身份证复印件及委托代理人近一年（2021年6月1日至2022年5月31日）任意连续三个月的社保证明材料复印件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供应商：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（盖单位章）</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法定代表人：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（签字）</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身份证号码：</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委托代理人：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（签字）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身份证号码：</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ind w:firstLine="2310" w:firstLineChars="1100"/>
        <w:rPr>
          <w:rFonts w:ascii="宋体" w:hAnsi="宋体" w:cs="宋体"/>
          <w:bCs/>
          <w:color w:val="auto"/>
          <w:sz w:val="21"/>
          <w:szCs w:val="21"/>
        </w:rPr>
      </w:pP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日</w:t>
      </w: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rPr>
      </w:pPr>
    </w:p>
    <w:p>
      <w:pPr>
        <w:pStyle w:val="6"/>
        <w:spacing w:line="312" w:lineRule="auto"/>
        <w:jc w:val="center"/>
        <w:rPr>
          <w:rFonts w:ascii="宋体" w:hAnsi="宋体" w:eastAsia="宋体" w:cs="宋体"/>
          <w:b w:val="0"/>
          <w:color w:val="auto"/>
        </w:rPr>
      </w:pPr>
      <w:bookmarkStart w:id="288" w:name="_Toc144974862"/>
      <w:bookmarkStart w:id="289" w:name="_Toc152042583"/>
      <w:bookmarkStart w:id="290" w:name="_Toc247085880"/>
      <w:bookmarkStart w:id="291" w:name="_Toc179632814"/>
      <w:bookmarkStart w:id="292" w:name="_Toc246996362"/>
      <w:bookmarkStart w:id="293" w:name="_Toc152045794"/>
      <w:bookmarkStart w:id="294" w:name="_Toc449519144"/>
      <w:bookmarkStart w:id="295" w:name="_Toc246997105"/>
    </w:p>
    <w:p>
      <w:pPr>
        <w:pStyle w:val="6"/>
        <w:spacing w:line="312" w:lineRule="auto"/>
        <w:jc w:val="center"/>
        <w:rPr>
          <w:rFonts w:ascii="宋体" w:hAnsi="宋体" w:eastAsia="宋体" w:cs="宋体"/>
          <w:b w:val="0"/>
          <w:color w:val="auto"/>
        </w:rPr>
      </w:pPr>
      <w:r>
        <w:rPr>
          <w:rFonts w:hint="eastAsia" w:ascii="宋体" w:hAnsi="宋体" w:eastAsia="宋体" w:cs="宋体"/>
          <w:b w:val="0"/>
          <w:color w:val="auto"/>
        </w:rPr>
        <w:br w:type="page"/>
      </w:r>
      <w:bookmarkStart w:id="296" w:name="_Toc2017"/>
      <w:bookmarkStart w:id="297" w:name="_Toc13472"/>
      <w:bookmarkStart w:id="298" w:name="_Toc9292"/>
      <w:bookmarkStart w:id="299" w:name="_Toc21003"/>
      <w:r>
        <w:rPr>
          <w:rFonts w:hint="eastAsia" w:ascii="宋体" w:hAnsi="宋体" w:eastAsia="宋体" w:cs="宋体"/>
          <w:b w:val="0"/>
          <w:color w:val="auto"/>
        </w:rPr>
        <w:t>四、磋商保证金</w:t>
      </w:r>
      <w:bookmarkEnd w:id="288"/>
      <w:bookmarkEnd w:id="289"/>
      <w:bookmarkEnd w:id="290"/>
      <w:bookmarkEnd w:id="291"/>
      <w:bookmarkEnd w:id="292"/>
      <w:bookmarkEnd w:id="293"/>
      <w:bookmarkEnd w:id="294"/>
      <w:bookmarkEnd w:id="295"/>
      <w:bookmarkEnd w:id="296"/>
      <w:bookmarkEnd w:id="297"/>
      <w:bookmarkEnd w:id="298"/>
      <w:bookmarkEnd w:id="299"/>
    </w:p>
    <w:p>
      <w:pPr>
        <w:spacing w:line="312" w:lineRule="auto"/>
        <w:rPr>
          <w:rFonts w:ascii="宋体" w:hAnsi="宋体" w:cs="宋体"/>
          <w:bCs/>
          <w:color w:val="auto"/>
          <w:sz w:val="21"/>
          <w:szCs w:val="16"/>
        </w:rPr>
      </w:pPr>
    </w:p>
    <w:p>
      <w:pPr>
        <w:spacing w:line="312" w:lineRule="auto"/>
        <w:jc w:val="left"/>
        <w:rPr>
          <w:rFonts w:ascii="宋体" w:hAnsi="宋体" w:cs="宋体"/>
          <w:bCs/>
          <w:color w:val="auto"/>
          <w:sz w:val="21"/>
          <w:szCs w:val="16"/>
          <w:lang w:val="zh-CN"/>
        </w:rPr>
      </w:pPr>
      <w:r>
        <w:rPr>
          <w:rFonts w:hint="eastAsia" w:ascii="宋体" w:hAnsi="宋体" w:cs="宋体"/>
          <w:bCs/>
          <w:color w:val="auto"/>
          <w:sz w:val="21"/>
          <w:szCs w:val="16"/>
          <w:lang w:val="zh-CN"/>
        </w:rPr>
        <w:t>附基本账户开户许可证</w:t>
      </w:r>
      <w:r>
        <w:rPr>
          <w:rFonts w:hint="eastAsia" w:ascii="宋体" w:hAnsi="宋体" w:cs="宋体"/>
          <w:color w:val="auto"/>
          <w:sz w:val="21"/>
          <w:szCs w:val="16"/>
        </w:rPr>
        <w:t>及保证金相关证明材料</w:t>
      </w:r>
      <w:r>
        <w:rPr>
          <w:rFonts w:hint="eastAsia" w:ascii="宋体" w:hAnsi="宋体" w:cs="宋体"/>
          <w:bCs/>
          <w:color w:val="auto"/>
          <w:sz w:val="21"/>
          <w:szCs w:val="16"/>
          <w:lang w:val="zh-CN"/>
        </w:rPr>
        <w:t>复印件。</w:t>
      </w:r>
    </w:p>
    <w:p>
      <w:pPr>
        <w:spacing w:line="312" w:lineRule="auto"/>
        <w:jc w:val="center"/>
        <w:rPr>
          <w:rFonts w:ascii="宋体" w:hAnsi="宋体" w:cs="宋体"/>
          <w:bCs/>
          <w:color w:val="auto"/>
          <w:sz w:val="21"/>
          <w:szCs w:val="16"/>
          <w:lang w:val="zh-CN"/>
        </w:rPr>
      </w:pPr>
    </w:p>
    <w:p>
      <w:pPr>
        <w:spacing w:line="312" w:lineRule="auto"/>
        <w:jc w:val="left"/>
        <w:rPr>
          <w:rFonts w:ascii="宋体" w:hAnsi="宋体" w:cs="宋体"/>
          <w:b/>
          <w:bCs/>
          <w:color w:val="auto"/>
          <w:sz w:val="27"/>
          <w:szCs w:val="27"/>
        </w:rPr>
      </w:pPr>
      <w:r>
        <w:rPr>
          <w:rFonts w:hint="eastAsia" w:ascii="宋体" w:hAnsi="宋体" w:cs="宋体"/>
          <w:b/>
          <w:bCs/>
          <w:color w:val="auto"/>
          <w:sz w:val="21"/>
          <w:szCs w:val="21"/>
        </w:rPr>
        <w:t>注：基本账户开户许可取消后新开立基本账户的供应商，可以按照中国人民银行的相关文件规定提交银行打印的《基本存款账户信息》。</w:t>
      </w:r>
    </w:p>
    <w:p>
      <w:pPr>
        <w:pStyle w:val="6"/>
        <w:spacing w:line="312" w:lineRule="auto"/>
        <w:jc w:val="center"/>
        <w:rPr>
          <w:rFonts w:ascii="宋体" w:hAnsi="宋体" w:eastAsia="宋体" w:cs="宋体"/>
          <w:b w:val="0"/>
          <w:color w:val="auto"/>
        </w:rPr>
      </w:pPr>
      <w:bookmarkStart w:id="300" w:name="_Toc152042584"/>
      <w:bookmarkStart w:id="301" w:name="_Toc144974863"/>
      <w:bookmarkStart w:id="302" w:name="_Toc152045795"/>
      <w:bookmarkStart w:id="303" w:name="_Toc449519145"/>
      <w:bookmarkStart w:id="304" w:name="_Toc246997106"/>
      <w:bookmarkStart w:id="305" w:name="_Toc246996363"/>
      <w:bookmarkStart w:id="306" w:name="_Toc13499"/>
      <w:bookmarkStart w:id="307" w:name="_Toc179632815"/>
      <w:bookmarkStart w:id="308" w:name="_Toc247085881"/>
      <w:r>
        <w:rPr>
          <w:rFonts w:hint="eastAsia" w:ascii="宋体" w:hAnsi="宋体" w:eastAsia="宋体" w:cs="宋体"/>
          <w:b w:val="0"/>
          <w:color w:val="auto"/>
        </w:rPr>
        <w:br w:type="page"/>
      </w:r>
      <w:bookmarkStart w:id="309" w:name="_Toc26837"/>
      <w:bookmarkStart w:id="310" w:name="_Toc29395"/>
      <w:bookmarkStart w:id="311" w:name="_Toc18016"/>
      <w:r>
        <w:rPr>
          <w:rFonts w:hint="eastAsia" w:ascii="宋体" w:hAnsi="宋体" w:eastAsia="宋体" w:cs="宋体"/>
          <w:b w:val="0"/>
          <w:color w:val="auto"/>
        </w:rPr>
        <w:t>五、已标价工程量清单</w:t>
      </w:r>
      <w:bookmarkEnd w:id="300"/>
      <w:bookmarkEnd w:id="301"/>
      <w:bookmarkEnd w:id="302"/>
      <w:bookmarkEnd w:id="303"/>
      <w:bookmarkEnd w:id="304"/>
      <w:bookmarkEnd w:id="305"/>
      <w:bookmarkEnd w:id="306"/>
      <w:bookmarkEnd w:id="307"/>
      <w:bookmarkEnd w:id="308"/>
      <w:bookmarkEnd w:id="309"/>
      <w:bookmarkEnd w:id="310"/>
      <w:bookmarkEnd w:id="311"/>
    </w:p>
    <w:p>
      <w:pPr>
        <w:spacing w:line="312" w:lineRule="auto"/>
        <w:rPr>
          <w:rFonts w:ascii="宋体" w:hAnsi="宋体" w:cs="宋体"/>
          <w:bCs/>
          <w:color w:val="auto"/>
          <w:szCs w:val="21"/>
          <w:lang w:val="zh-CN"/>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pStyle w:val="6"/>
        <w:spacing w:line="312" w:lineRule="auto"/>
        <w:jc w:val="center"/>
        <w:rPr>
          <w:rFonts w:ascii="宋体" w:hAnsi="宋体" w:eastAsia="宋体" w:cs="宋体"/>
          <w:b w:val="0"/>
          <w:color w:val="auto"/>
          <w:szCs w:val="21"/>
        </w:rPr>
      </w:pPr>
      <w:bookmarkStart w:id="312" w:name="_Toc31427"/>
      <w:bookmarkStart w:id="313" w:name="_Toc247085887"/>
      <w:bookmarkStart w:id="314" w:name="_Toc7434"/>
      <w:bookmarkStart w:id="315" w:name="_Toc144974871"/>
      <w:bookmarkStart w:id="316" w:name="_Toc246997112"/>
      <w:bookmarkStart w:id="317" w:name="_Toc12075"/>
      <w:bookmarkStart w:id="318" w:name="_Toc449519146"/>
      <w:bookmarkStart w:id="319" w:name="_Toc23162"/>
      <w:bookmarkStart w:id="320" w:name="_Toc152045803"/>
      <w:bookmarkStart w:id="321" w:name="_Toc246996369"/>
      <w:bookmarkStart w:id="322" w:name="_Toc179632823"/>
      <w:bookmarkStart w:id="323" w:name="_Toc152042592"/>
      <w:r>
        <w:rPr>
          <w:rFonts w:hint="eastAsia" w:ascii="宋体" w:hAnsi="宋体" w:eastAsia="宋体" w:cs="宋体"/>
          <w:b w:val="0"/>
          <w:color w:val="auto"/>
        </w:rPr>
        <w:t>六、项目管理机构</w:t>
      </w:r>
      <w:bookmarkEnd w:id="312"/>
      <w:bookmarkEnd w:id="313"/>
      <w:bookmarkEnd w:id="314"/>
      <w:bookmarkEnd w:id="315"/>
      <w:bookmarkEnd w:id="316"/>
      <w:bookmarkEnd w:id="317"/>
      <w:bookmarkEnd w:id="318"/>
      <w:bookmarkEnd w:id="319"/>
      <w:bookmarkEnd w:id="320"/>
      <w:bookmarkEnd w:id="321"/>
      <w:bookmarkEnd w:id="322"/>
      <w:bookmarkEnd w:id="323"/>
    </w:p>
    <w:p>
      <w:pPr>
        <w:pStyle w:val="7"/>
        <w:spacing w:line="312" w:lineRule="auto"/>
        <w:jc w:val="center"/>
        <w:rPr>
          <w:rFonts w:ascii="宋体" w:hAnsi="宋体" w:cs="宋体"/>
          <w:b w:val="0"/>
          <w:color w:val="auto"/>
          <w:sz w:val="28"/>
          <w:szCs w:val="28"/>
        </w:rPr>
      </w:pPr>
      <w:bookmarkStart w:id="324" w:name="_Toc347385781"/>
      <w:bookmarkStart w:id="325" w:name="_Toc364364596"/>
      <w:bookmarkStart w:id="326" w:name="_Toc246997113"/>
      <w:bookmarkStart w:id="327" w:name="_Toc354066009"/>
      <w:bookmarkStart w:id="328" w:name="_Toc179632824"/>
      <w:bookmarkStart w:id="329" w:name="_Toc449518934"/>
      <w:bookmarkStart w:id="330" w:name="_Toc429345243"/>
      <w:bookmarkStart w:id="331" w:name="_Toc411773176"/>
      <w:bookmarkStart w:id="332" w:name="_Toc246996370"/>
      <w:bookmarkStart w:id="333" w:name="_Toc152042593"/>
      <w:bookmarkStart w:id="334" w:name="_Toc144974872"/>
      <w:bookmarkStart w:id="335" w:name="_Toc17514"/>
      <w:bookmarkStart w:id="336" w:name="_Toc152045804"/>
      <w:bookmarkStart w:id="337" w:name="_Toc449519147"/>
      <w:bookmarkStart w:id="338" w:name="_Toc247085888"/>
      <w:bookmarkStart w:id="339" w:name="_Toc18246"/>
      <w:r>
        <w:rPr>
          <w:rFonts w:hint="eastAsia" w:ascii="宋体" w:hAnsi="宋体" w:cs="宋体"/>
          <w:b w:val="0"/>
          <w:color w:val="auto"/>
          <w:sz w:val="28"/>
          <w:szCs w:val="28"/>
        </w:rPr>
        <w:t>（一）项目管理机构组成表</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51"/>
        <w:gridCol w:w="748"/>
        <w:gridCol w:w="1125"/>
        <w:gridCol w:w="748"/>
        <w:gridCol w:w="751"/>
        <w:gridCol w:w="748"/>
        <w:gridCol w:w="262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职务</w:t>
            </w:r>
          </w:p>
        </w:tc>
        <w:tc>
          <w:tcPr>
            <w:tcW w:w="751"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姓名</w:t>
            </w:r>
          </w:p>
        </w:tc>
        <w:tc>
          <w:tcPr>
            <w:tcW w:w="748"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职称</w:t>
            </w:r>
          </w:p>
        </w:tc>
        <w:tc>
          <w:tcPr>
            <w:tcW w:w="5998" w:type="dxa"/>
            <w:gridSpan w:val="5"/>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执业或职业资格证明</w:t>
            </w:r>
          </w:p>
        </w:tc>
        <w:tc>
          <w:tcPr>
            <w:tcW w:w="1684"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continue"/>
            <w:vAlign w:val="center"/>
          </w:tcPr>
          <w:p>
            <w:pPr>
              <w:spacing w:line="312" w:lineRule="auto"/>
              <w:jc w:val="center"/>
              <w:rPr>
                <w:rFonts w:ascii="宋体" w:hAnsi="宋体" w:cs="宋体"/>
                <w:bCs/>
                <w:color w:val="auto"/>
                <w:sz w:val="21"/>
                <w:szCs w:val="21"/>
              </w:rPr>
            </w:pPr>
          </w:p>
        </w:tc>
        <w:tc>
          <w:tcPr>
            <w:tcW w:w="751" w:type="dxa"/>
            <w:vMerge w:val="continue"/>
            <w:vAlign w:val="center"/>
          </w:tcPr>
          <w:p>
            <w:pPr>
              <w:spacing w:line="312" w:lineRule="auto"/>
              <w:jc w:val="center"/>
              <w:rPr>
                <w:rFonts w:ascii="宋体" w:hAnsi="宋体" w:cs="宋体"/>
                <w:bCs/>
                <w:color w:val="auto"/>
                <w:sz w:val="21"/>
                <w:szCs w:val="21"/>
              </w:rPr>
            </w:pPr>
          </w:p>
        </w:tc>
        <w:tc>
          <w:tcPr>
            <w:tcW w:w="748" w:type="dxa"/>
            <w:vMerge w:val="continue"/>
            <w:vAlign w:val="center"/>
          </w:tcPr>
          <w:p>
            <w:pPr>
              <w:spacing w:line="312" w:lineRule="auto"/>
              <w:jc w:val="center"/>
              <w:rPr>
                <w:rFonts w:ascii="宋体" w:hAnsi="宋体" w:cs="宋体"/>
                <w:bCs/>
                <w:color w:val="auto"/>
                <w:sz w:val="21"/>
                <w:szCs w:val="21"/>
              </w:rPr>
            </w:pPr>
          </w:p>
        </w:tc>
        <w:tc>
          <w:tcPr>
            <w:tcW w:w="1125"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证书名称</w:t>
            </w:r>
          </w:p>
        </w:tc>
        <w:tc>
          <w:tcPr>
            <w:tcW w:w="748"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级别</w:t>
            </w:r>
          </w:p>
        </w:tc>
        <w:tc>
          <w:tcPr>
            <w:tcW w:w="751"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证号</w:t>
            </w:r>
          </w:p>
        </w:tc>
        <w:tc>
          <w:tcPr>
            <w:tcW w:w="748"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专业</w:t>
            </w:r>
          </w:p>
        </w:tc>
        <w:tc>
          <w:tcPr>
            <w:tcW w:w="262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养老保险</w:t>
            </w:r>
          </w:p>
        </w:tc>
        <w:tc>
          <w:tcPr>
            <w:tcW w:w="1684" w:type="dxa"/>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spacing w:line="312" w:lineRule="auto"/>
              <w:jc w:val="center"/>
              <w:rPr>
                <w:rFonts w:ascii="宋体" w:hAnsi="宋体" w:cs="宋体"/>
                <w:bCs/>
                <w:color w:val="auto"/>
                <w:sz w:val="21"/>
                <w:szCs w:val="21"/>
              </w:rPr>
            </w:pPr>
          </w:p>
        </w:tc>
        <w:tc>
          <w:tcPr>
            <w:tcW w:w="751" w:type="dxa"/>
            <w:vAlign w:val="center"/>
          </w:tcPr>
          <w:p>
            <w:pPr>
              <w:spacing w:line="312" w:lineRule="auto"/>
              <w:jc w:val="center"/>
              <w:rPr>
                <w:rFonts w:ascii="宋体" w:hAnsi="宋体" w:cs="宋体"/>
                <w:bCs/>
                <w:color w:val="auto"/>
                <w:sz w:val="21"/>
                <w:szCs w:val="21"/>
              </w:rPr>
            </w:pPr>
          </w:p>
        </w:tc>
        <w:tc>
          <w:tcPr>
            <w:tcW w:w="748" w:type="dxa"/>
            <w:vAlign w:val="center"/>
          </w:tcPr>
          <w:p>
            <w:pPr>
              <w:spacing w:line="312" w:lineRule="auto"/>
              <w:jc w:val="center"/>
              <w:rPr>
                <w:rFonts w:ascii="宋体" w:hAnsi="宋体" w:cs="宋体"/>
                <w:bCs/>
                <w:color w:val="auto"/>
                <w:sz w:val="21"/>
                <w:szCs w:val="21"/>
              </w:rPr>
            </w:pPr>
          </w:p>
        </w:tc>
        <w:tc>
          <w:tcPr>
            <w:tcW w:w="1125" w:type="dxa"/>
            <w:vAlign w:val="center"/>
          </w:tcPr>
          <w:p>
            <w:pPr>
              <w:spacing w:line="312" w:lineRule="auto"/>
              <w:jc w:val="center"/>
              <w:rPr>
                <w:rFonts w:ascii="宋体" w:hAnsi="宋体" w:cs="宋体"/>
                <w:bCs/>
                <w:color w:val="auto"/>
                <w:sz w:val="21"/>
                <w:szCs w:val="21"/>
              </w:rPr>
            </w:pPr>
          </w:p>
        </w:tc>
        <w:tc>
          <w:tcPr>
            <w:tcW w:w="748" w:type="dxa"/>
            <w:vAlign w:val="center"/>
          </w:tcPr>
          <w:p>
            <w:pPr>
              <w:spacing w:line="312" w:lineRule="auto"/>
              <w:jc w:val="center"/>
              <w:rPr>
                <w:rFonts w:ascii="宋体" w:hAnsi="宋体" w:cs="宋体"/>
                <w:bCs/>
                <w:color w:val="auto"/>
                <w:sz w:val="21"/>
                <w:szCs w:val="21"/>
              </w:rPr>
            </w:pPr>
          </w:p>
        </w:tc>
        <w:tc>
          <w:tcPr>
            <w:tcW w:w="751" w:type="dxa"/>
            <w:vAlign w:val="center"/>
          </w:tcPr>
          <w:p>
            <w:pPr>
              <w:spacing w:line="312" w:lineRule="auto"/>
              <w:jc w:val="center"/>
              <w:rPr>
                <w:rFonts w:ascii="宋体" w:hAnsi="宋体" w:cs="宋体"/>
                <w:bCs/>
                <w:color w:val="auto"/>
                <w:sz w:val="21"/>
                <w:szCs w:val="21"/>
              </w:rPr>
            </w:pPr>
          </w:p>
        </w:tc>
        <w:tc>
          <w:tcPr>
            <w:tcW w:w="748" w:type="dxa"/>
            <w:vAlign w:val="center"/>
          </w:tcPr>
          <w:p>
            <w:pPr>
              <w:spacing w:line="312" w:lineRule="auto"/>
              <w:jc w:val="center"/>
              <w:rPr>
                <w:rFonts w:ascii="宋体" w:hAnsi="宋体" w:cs="宋体"/>
                <w:bCs/>
                <w:color w:val="auto"/>
                <w:sz w:val="21"/>
                <w:szCs w:val="21"/>
              </w:rPr>
            </w:pPr>
          </w:p>
        </w:tc>
        <w:tc>
          <w:tcPr>
            <w:tcW w:w="2626" w:type="dxa"/>
            <w:vAlign w:val="center"/>
          </w:tcPr>
          <w:p>
            <w:pPr>
              <w:spacing w:line="312" w:lineRule="auto"/>
              <w:jc w:val="center"/>
              <w:rPr>
                <w:rFonts w:ascii="宋体" w:hAnsi="宋体" w:cs="宋体"/>
                <w:bCs/>
                <w:color w:val="auto"/>
                <w:sz w:val="21"/>
                <w:szCs w:val="21"/>
              </w:rPr>
            </w:pPr>
          </w:p>
        </w:tc>
        <w:tc>
          <w:tcPr>
            <w:tcW w:w="1684" w:type="dxa"/>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bl>
    <w:p>
      <w:pPr>
        <w:topLinePunct/>
        <w:spacing w:line="312" w:lineRule="auto"/>
        <w:jc w:val="center"/>
        <w:rPr>
          <w:rFonts w:ascii="宋体" w:hAnsi="宋体" w:cs="宋体"/>
          <w:bCs/>
          <w:color w:val="auto"/>
          <w:sz w:val="20"/>
        </w:rPr>
      </w:pPr>
    </w:p>
    <w:p>
      <w:pPr>
        <w:topLinePunct/>
        <w:spacing w:line="312" w:lineRule="auto"/>
        <w:rPr>
          <w:rFonts w:ascii="宋体" w:hAnsi="宋体" w:cs="宋体"/>
          <w:bCs/>
          <w:color w:val="auto"/>
          <w:sz w:val="20"/>
        </w:rPr>
      </w:pPr>
    </w:p>
    <w:p>
      <w:pPr>
        <w:topLinePunct/>
        <w:spacing w:line="312" w:lineRule="auto"/>
        <w:rPr>
          <w:rFonts w:ascii="宋体" w:hAnsi="宋体" w:cs="宋体"/>
          <w:bCs/>
          <w:color w:val="auto"/>
          <w:sz w:val="20"/>
        </w:rPr>
      </w:pPr>
    </w:p>
    <w:p>
      <w:pPr>
        <w:topLinePunct/>
        <w:spacing w:line="312" w:lineRule="auto"/>
        <w:rPr>
          <w:rFonts w:ascii="宋体" w:hAnsi="宋体" w:cs="宋体"/>
          <w:bCs/>
          <w:color w:val="auto"/>
          <w:sz w:val="20"/>
        </w:rPr>
      </w:pPr>
    </w:p>
    <w:p>
      <w:pPr>
        <w:topLinePunct/>
        <w:spacing w:line="312" w:lineRule="auto"/>
        <w:rPr>
          <w:rFonts w:ascii="宋体" w:hAnsi="宋体" w:cs="宋体"/>
          <w:bCs/>
          <w:color w:val="auto"/>
          <w:sz w:val="20"/>
        </w:rPr>
      </w:pPr>
    </w:p>
    <w:p>
      <w:pPr>
        <w:pStyle w:val="7"/>
        <w:spacing w:line="312" w:lineRule="auto"/>
        <w:jc w:val="center"/>
        <w:rPr>
          <w:rFonts w:ascii="宋体" w:hAnsi="宋体" w:cs="宋体"/>
          <w:b w:val="0"/>
          <w:color w:val="auto"/>
        </w:rPr>
      </w:pPr>
      <w:bookmarkStart w:id="340" w:name="_Toc364364597"/>
      <w:bookmarkStart w:id="341" w:name="_Toc144974873"/>
      <w:bookmarkStart w:id="342" w:name="_Toc152045805"/>
      <w:bookmarkStart w:id="343" w:name="_Toc152042594"/>
      <w:bookmarkStart w:id="344" w:name="_Toc247085889"/>
      <w:bookmarkStart w:id="345" w:name="_Toc449518935"/>
      <w:bookmarkStart w:id="346" w:name="_Toc246996371"/>
      <w:bookmarkStart w:id="347" w:name="_Toc347385782"/>
      <w:bookmarkStart w:id="348" w:name="_Toc411773177"/>
      <w:bookmarkStart w:id="349" w:name="_Toc354066010"/>
      <w:bookmarkStart w:id="350" w:name="_Toc7889"/>
      <w:bookmarkStart w:id="351" w:name="_Toc179632825"/>
      <w:bookmarkStart w:id="352" w:name="_Toc449519148"/>
      <w:bookmarkStart w:id="353" w:name="_Toc246997114"/>
      <w:bookmarkStart w:id="354" w:name="_Toc429345244"/>
      <w:r>
        <w:rPr>
          <w:rFonts w:hint="eastAsia" w:ascii="宋体" w:hAnsi="宋体" w:cs="宋体"/>
          <w:b w:val="0"/>
          <w:color w:val="auto"/>
        </w:rPr>
        <w:br w:type="page"/>
      </w:r>
      <w:bookmarkStart w:id="355" w:name="_Toc22620"/>
      <w:r>
        <w:rPr>
          <w:rFonts w:hint="eastAsia" w:ascii="宋体" w:hAnsi="宋体" w:cs="宋体"/>
          <w:b w:val="0"/>
          <w:color w:val="auto"/>
          <w:sz w:val="28"/>
          <w:szCs w:val="18"/>
        </w:rPr>
        <w:t>（二）项目经理简历表</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应附（项目经理）身份证、建造师注册证书、安全生产考核合格证、近一年（2021年6月1日至2022年5月31日）任意连续三个月的社保证明材料复印件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，管理过的项目业绩须附中标通知书或合同协议书或竣工验收报告复印件并加盖公章。</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姓  名</w:t>
            </w:r>
          </w:p>
        </w:tc>
        <w:tc>
          <w:tcPr>
            <w:tcW w:w="1248" w:type="dxa"/>
            <w:gridSpan w:val="2"/>
            <w:vAlign w:val="center"/>
          </w:tcPr>
          <w:p>
            <w:pPr>
              <w:spacing w:line="312" w:lineRule="auto"/>
              <w:jc w:val="center"/>
              <w:rPr>
                <w:rFonts w:ascii="宋体" w:hAnsi="宋体" w:cs="宋体"/>
                <w:bCs/>
                <w:color w:val="auto"/>
                <w:sz w:val="21"/>
                <w:szCs w:val="21"/>
              </w:rPr>
            </w:pPr>
          </w:p>
        </w:tc>
        <w:tc>
          <w:tcPr>
            <w:tcW w:w="1072"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年 龄</w:t>
            </w:r>
          </w:p>
        </w:tc>
        <w:tc>
          <w:tcPr>
            <w:tcW w:w="1231" w:type="dxa"/>
            <w:vAlign w:val="center"/>
          </w:tcPr>
          <w:p>
            <w:pPr>
              <w:spacing w:line="312" w:lineRule="auto"/>
              <w:jc w:val="center"/>
              <w:rPr>
                <w:rFonts w:ascii="宋体" w:hAnsi="宋体" w:cs="宋体"/>
                <w:bCs/>
                <w:color w:val="auto"/>
                <w:sz w:val="21"/>
                <w:szCs w:val="21"/>
              </w:rPr>
            </w:pPr>
          </w:p>
        </w:tc>
        <w:tc>
          <w:tcPr>
            <w:tcW w:w="2463" w:type="dxa"/>
            <w:gridSpan w:val="3"/>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学历</w:t>
            </w:r>
          </w:p>
        </w:tc>
        <w:tc>
          <w:tcPr>
            <w:tcW w:w="2469" w:type="dxa"/>
            <w:vAlign w:val="center"/>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  称</w:t>
            </w:r>
          </w:p>
        </w:tc>
        <w:tc>
          <w:tcPr>
            <w:tcW w:w="1248" w:type="dxa"/>
            <w:gridSpan w:val="2"/>
            <w:vAlign w:val="center"/>
          </w:tcPr>
          <w:p>
            <w:pPr>
              <w:spacing w:line="312" w:lineRule="auto"/>
              <w:jc w:val="center"/>
              <w:rPr>
                <w:rFonts w:ascii="宋体" w:hAnsi="宋体" w:cs="宋体"/>
                <w:bCs/>
                <w:color w:val="auto"/>
                <w:sz w:val="21"/>
                <w:szCs w:val="21"/>
              </w:rPr>
            </w:pPr>
          </w:p>
        </w:tc>
        <w:tc>
          <w:tcPr>
            <w:tcW w:w="1072"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 务</w:t>
            </w:r>
          </w:p>
        </w:tc>
        <w:tc>
          <w:tcPr>
            <w:tcW w:w="1231" w:type="dxa"/>
            <w:vAlign w:val="center"/>
          </w:tcPr>
          <w:p>
            <w:pPr>
              <w:spacing w:line="312" w:lineRule="auto"/>
              <w:jc w:val="center"/>
              <w:rPr>
                <w:rFonts w:ascii="宋体" w:hAnsi="宋体" w:cs="宋体"/>
                <w:bCs/>
                <w:color w:val="auto"/>
                <w:sz w:val="21"/>
                <w:szCs w:val="21"/>
              </w:rPr>
            </w:pPr>
          </w:p>
        </w:tc>
        <w:tc>
          <w:tcPr>
            <w:tcW w:w="2463" w:type="dxa"/>
            <w:gridSpan w:val="3"/>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拟在本合同任职</w:t>
            </w:r>
          </w:p>
        </w:tc>
        <w:tc>
          <w:tcPr>
            <w:tcW w:w="2469" w:type="dxa"/>
            <w:vAlign w:val="center"/>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毕业学校</w:t>
            </w:r>
          </w:p>
        </w:tc>
        <w:tc>
          <w:tcPr>
            <w:tcW w:w="8483" w:type="dxa"/>
            <w:gridSpan w:val="8"/>
          </w:tcPr>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9"/>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6" w:type="dxa"/>
            <w:gridSpan w:val="2"/>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时  间</w:t>
            </w:r>
          </w:p>
        </w:tc>
        <w:tc>
          <w:tcPr>
            <w:tcW w:w="3955" w:type="dxa"/>
            <w:gridSpan w:val="4"/>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参加过的类似项目</w:t>
            </w:r>
          </w:p>
        </w:tc>
        <w:tc>
          <w:tcPr>
            <w:tcW w:w="1458"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担任职务</w:t>
            </w:r>
          </w:p>
        </w:tc>
        <w:tc>
          <w:tcPr>
            <w:tcW w:w="2655" w:type="dxa"/>
            <w:gridSpan w:val="2"/>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bl>
    <w:p>
      <w:pPr>
        <w:pStyle w:val="8"/>
        <w:spacing w:line="312" w:lineRule="auto"/>
        <w:rPr>
          <w:rFonts w:ascii="宋体" w:hAnsi="宋体" w:cs="宋体"/>
          <w:color w:val="auto"/>
        </w:rPr>
      </w:pPr>
    </w:p>
    <w:p>
      <w:pPr>
        <w:rPr>
          <w:rFonts w:ascii="宋体" w:hAnsi="宋体" w:cs="宋体"/>
          <w:color w:val="auto"/>
          <w:sz w:val="22"/>
          <w:szCs w:val="22"/>
        </w:rPr>
      </w:pPr>
      <w:bookmarkStart w:id="356" w:name="_Toc2488"/>
      <w:bookmarkStart w:id="357" w:name="_Toc27852"/>
      <w:r>
        <w:rPr>
          <w:rFonts w:hint="eastAsia" w:ascii="宋体" w:hAnsi="宋体" w:cs="宋体"/>
          <w:color w:val="auto"/>
          <w:sz w:val="22"/>
          <w:szCs w:val="22"/>
        </w:rPr>
        <w:br w:type="page"/>
      </w:r>
    </w:p>
    <w:p>
      <w:pPr>
        <w:pStyle w:val="7"/>
        <w:spacing w:before="0" w:after="0" w:line="312" w:lineRule="auto"/>
        <w:jc w:val="center"/>
        <w:rPr>
          <w:rFonts w:ascii="宋体" w:hAnsi="宋体" w:cs="宋体"/>
          <w:color w:val="auto"/>
          <w:sz w:val="22"/>
          <w:szCs w:val="22"/>
        </w:rPr>
      </w:pPr>
      <w:r>
        <w:rPr>
          <w:rFonts w:hint="eastAsia" w:ascii="宋体" w:hAnsi="宋体" w:cs="宋体"/>
          <w:color w:val="auto"/>
          <w:sz w:val="22"/>
          <w:szCs w:val="22"/>
        </w:rPr>
        <w:t>项目经理无在建承诺书</w:t>
      </w:r>
      <w:bookmarkEnd w:id="356"/>
      <w:bookmarkEnd w:id="357"/>
    </w:p>
    <w:p>
      <w:pPr>
        <w:pStyle w:val="7"/>
        <w:spacing w:before="0" w:after="0" w:line="312" w:lineRule="auto"/>
        <w:rPr>
          <w:rFonts w:ascii="宋体" w:hAnsi="宋体" w:cs="宋体"/>
          <w:b w:val="0"/>
          <w:color w:val="auto"/>
          <w:sz w:val="21"/>
          <w:szCs w:val="21"/>
        </w:rPr>
      </w:pPr>
    </w:p>
    <w:p>
      <w:pPr>
        <w:spacing w:after="312" w:afterLines="100" w:line="312" w:lineRule="auto"/>
        <w:rPr>
          <w:rFonts w:ascii="宋体" w:hAnsi="宋体" w:cs="宋体"/>
          <w:color w:val="auto"/>
          <w:sz w:val="21"/>
          <w:szCs w:val="21"/>
        </w:rPr>
      </w:pPr>
      <w:r>
        <w:rPr>
          <w:rFonts w:hint="eastAsia" w:ascii="宋体" w:hAnsi="宋体" w:cs="宋体"/>
          <w:color w:val="auto"/>
          <w:position w:val="-7"/>
          <w:sz w:val="21"/>
          <w:szCs w:val="21"/>
        </w:rPr>
        <w:t>————————</w:t>
      </w:r>
      <w:r>
        <w:rPr>
          <w:rFonts w:hint="eastAsia" w:ascii="宋体" w:hAnsi="宋体" w:cs="宋体"/>
          <w:color w:val="auto"/>
          <w:sz w:val="21"/>
          <w:szCs w:val="21"/>
        </w:rPr>
        <w:t>（采购人名称）：</w:t>
      </w:r>
    </w:p>
    <w:p>
      <w:pP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我方在此声明，我方拟派往</w:t>
      </w:r>
      <w:r>
        <w:rPr>
          <w:rFonts w:hint="eastAsia" w:ascii="宋体" w:hAnsi="宋体" w:cs="宋体"/>
          <w:color w:val="auto"/>
          <w:sz w:val="21"/>
          <w:szCs w:val="21"/>
          <w:u w:val="single"/>
        </w:rPr>
        <w:t xml:space="preserve">        </w:t>
      </w:r>
      <w:r>
        <w:rPr>
          <w:rFonts w:hint="eastAsia" w:ascii="宋体" w:hAnsi="宋体" w:cs="宋体"/>
          <w:color w:val="auto"/>
          <w:sz w:val="21"/>
          <w:szCs w:val="21"/>
        </w:rPr>
        <w:t>（项目名称）（以下简称“本工程”）的项目经理</w:t>
      </w:r>
      <w:r>
        <w:rPr>
          <w:rFonts w:hint="eastAsia" w:ascii="宋体" w:hAnsi="宋体" w:cs="宋体"/>
          <w:color w:val="auto"/>
          <w:sz w:val="21"/>
          <w:szCs w:val="21"/>
          <w:u w:val="single"/>
        </w:rPr>
        <w:t xml:space="preserve">           </w:t>
      </w:r>
      <w:r>
        <w:rPr>
          <w:rFonts w:hint="eastAsia" w:ascii="宋体" w:hAnsi="宋体" w:cs="宋体"/>
          <w:color w:val="auto"/>
          <w:sz w:val="21"/>
          <w:szCs w:val="21"/>
        </w:rPr>
        <w:t>（项目经理姓名）现阶段没有任何在施建设工程项目并不随意更换。</w:t>
      </w:r>
    </w:p>
    <w:p>
      <w:pP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我方保证上述信息的真实和准确，并愿意承担因我方就此弄虚作假所引起的一切法律后果。</w:t>
      </w: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特此承诺</w:t>
      </w: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rPr>
        <w:t>供应商：</w:t>
      </w:r>
      <w:r>
        <w:rPr>
          <w:rFonts w:hint="eastAsia" w:ascii="宋体" w:hAnsi="宋体" w:cs="宋体"/>
          <w:color w:val="auto"/>
          <w:sz w:val="21"/>
          <w:szCs w:val="21"/>
          <w:u w:val="single"/>
        </w:rPr>
        <w:t xml:space="preserve">                             </w:t>
      </w:r>
      <w:r>
        <w:rPr>
          <w:rFonts w:hint="eastAsia" w:ascii="宋体" w:hAnsi="宋体" w:cs="宋体"/>
          <w:color w:val="auto"/>
          <w:sz w:val="21"/>
          <w:szCs w:val="21"/>
        </w:rPr>
        <w:t>（盖单位章）</w:t>
      </w: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rPr>
        <w:t>法定代表人：</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rPr>
        <w:t>项目经理：</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pPr>
        <w:spacing w:line="312" w:lineRule="auto"/>
        <w:jc w:val="center"/>
        <w:rPr>
          <w:rFonts w:ascii="宋体" w:hAnsi="宋体" w:cs="宋体"/>
          <w:b/>
          <w:color w:val="auto"/>
          <w:szCs w:val="21"/>
        </w:rPr>
      </w:pPr>
      <w:r>
        <w:rPr>
          <w:rFonts w:hint="eastAsia" w:ascii="宋体" w:hAnsi="宋体" w:cs="宋体"/>
          <w:color w:val="auto"/>
          <w:szCs w:val="21"/>
        </w:rPr>
        <w:br w:type="page"/>
      </w:r>
      <w:bookmarkStart w:id="358" w:name="_Toc347385783"/>
      <w:bookmarkStart w:id="359" w:name="_Toc449518936"/>
      <w:bookmarkStart w:id="360" w:name="_Toc321313725"/>
      <w:bookmarkStart w:id="361" w:name="_Toc354066011"/>
      <w:bookmarkStart w:id="362" w:name="_Toc411773178"/>
      <w:bookmarkStart w:id="363" w:name="_Toc22435"/>
      <w:bookmarkStart w:id="364" w:name="_Toc364364598"/>
      <w:bookmarkStart w:id="365" w:name="_Toc449519149"/>
      <w:bookmarkStart w:id="366" w:name="_Toc429345245"/>
      <w:r>
        <w:rPr>
          <w:rFonts w:hint="eastAsia" w:ascii="宋体" w:hAnsi="宋体" w:cs="宋体"/>
          <w:b/>
          <w:color w:val="auto"/>
        </w:rPr>
        <w:t>（三）主要项目管理人员简历表</w:t>
      </w:r>
      <w:bookmarkEnd w:id="358"/>
      <w:bookmarkEnd w:id="359"/>
      <w:bookmarkEnd w:id="360"/>
      <w:bookmarkEnd w:id="361"/>
      <w:bookmarkEnd w:id="362"/>
      <w:bookmarkEnd w:id="363"/>
      <w:bookmarkEnd w:id="364"/>
      <w:bookmarkEnd w:id="365"/>
      <w:bookmarkEnd w:id="366"/>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主要项目管理人员应附身份证、岗位证书（或职称证）复印件并加盖公章，专职安全生产管理人员应附安全生产考核合格证书复印件并加盖公章，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，主要业绩须附中标通知书或合同协议书或竣工验收报告复印件（如有）。</w:t>
      </w:r>
    </w:p>
    <w:tbl>
      <w:tblPr>
        <w:tblStyle w:val="58"/>
        <w:tblW w:w="0" w:type="auto"/>
        <w:tblInd w:w="0" w:type="dxa"/>
        <w:tblLayout w:type="fixed"/>
        <w:tblCellMar>
          <w:top w:w="0" w:type="dxa"/>
          <w:left w:w="108" w:type="dxa"/>
          <w:bottom w:w="0" w:type="dxa"/>
          <w:right w:w="108" w:type="dxa"/>
        </w:tblCellMar>
      </w:tblPr>
      <w:tblGrid>
        <w:gridCol w:w="481"/>
        <w:gridCol w:w="1633"/>
        <w:gridCol w:w="2869"/>
        <w:gridCol w:w="1499"/>
        <w:gridCol w:w="3372"/>
      </w:tblGrid>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岗位名称</w:t>
            </w:r>
          </w:p>
        </w:tc>
        <w:tc>
          <w:tcPr>
            <w:tcW w:w="7740" w:type="dxa"/>
            <w:gridSpan w:val="3"/>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姓    名</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年    龄</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性    别</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毕业学校</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学历和专业</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毕业时间</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拥有的执业资格</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专业职称</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执业资格证书编号</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工作年限</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r>
              <w:rPr>
                <w:rFonts w:hint="eastAsia" w:ascii="宋体" w:hAnsi="宋体" w:cs="宋体"/>
                <w:bCs/>
                <w:color w:val="auto"/>
                <w:sz w:val="21"/>
                <w:szCs w:val="21"/>
              </w:rPr>
              <w:t>主</w:t>
            </w:r>
          </w:p>
          <w:p>
            <w:pPr>
              <w:spacing w:line="312" w:lineRule="auto"/>
              <w:rPr>
                <w:rFonts w:ascii="宋体" w:hAnsi="宋体" w:cs="宋体"/>
                <w:bCs/>
                <w:color w:val="auto"/>
                <w:sz w:val="21"/>
                <w:szCs w:val="21"/>
              </w:rPr>
            </w:pPr>
            <w:r>
              <w:rPr>
                <w:rFonts w:hint="eastAsia" w:ascii="宋体" w:hAnsi="宋体" w:cs="宋体"/>
                <w:bCs/>
                <w:color w:val="auto"/>
                <w:sz w:val="21"/>
                <w:szCs w:val="21"/>
              </w:rPr>
              <w:t>要</w:t>
            </w:r>
          </w:p>
          <w:p>
            <w:pPr>
              <w:spacing w:line="312" w:lineRule="auto"/>
              <w:rPr>
                <w:rFonts w:ascii="宋体" w:hAnsi="宋体" w:cs="宋体"/>
                <w:bCs/>
                <w:color w:val="auto"/>
                <w:sz w:val="21"/>
                <w:szCs w:val="21"/>
              </w:rPr>
            </w:pPr>
            <w:r>
              <w:rPr>
                <w:rFonts w:hint="eastAsia" w:ascii="宋体" w:hAnsi="宋体" w:cs="宋体"/>
                <w:bCs/>
                <w:color w:val="auto"/>
                <w:sz w:val="21"/>
                <w:szCs w:val="21"/>
              </w:rPr>
              <w:t>工</w:t>
            </w:r>
          </w:p>
          <w:p>
            <w:pPr>
              <w:spacing w:line="312" w:lineRule="auto"/>
              <w:rPr>
                <w:rFonts w:ascii="宋体" w:hAnsi="宋体" w:cs="宋体"/>
                <w:bCs/>
                <w:color w:val="auto"/>
                <w:sz w:val="21"/>
                <w:szCs w:val="21"/>
              </w:rPr>
            </w:pPr>
            <w:r>
              <w:rPr>
                <w:rFonts w:hint="eastAsia" w:ascii="宋体" w:hAnsi="宋体" w:cs="宋体"/>
                <w:bCs/>
                <w:color w:val="auto"/>
                <w:sz w:val="21"/>
                <w:szCs w:val="21"/>
              </w:rPr>
              <w:t>作</w:t>
            </w:r>
          </w:p>
          <w:p>
            <w:pPr>
              <w:spacing w:line="312" w:lineRule="auto"/>
              <w:rPr>
                <w:rFonts w:ascii="宋体" w:hAnsi="宋体" w:cs="宋体"/>
                <w:bCs/>
                <w:color w:val="auto"/>
                <w:sz w:val="21"/>
                <w:szCs w:val="21"/>
              </w:rPr>
            </w:pPr>
            <w:r>
              <w:rPr>
                <w:rFonts w:hint="eastAsia" w:ascii="宋体" w:hAnsi="宋体" w:cs="宋体"/>
                <w:bCs/>
                <w:color w:val="auto"/>
                <w:sz w:val="21"/>
                <w:szCs w:val="21"/>
              </w:rPr>
              <w:t>业</w:t>
            </w:r>
          </w:p>
          <w:p>
            <w:pPr>
              <w:spacing w:line="312" w:lineRule="auto"/>
              <w:rPr>
                <w:rFonts w:ascii="宋体" w:hAnsi="宋体" w:cs="宋体"/>
                <w:bCs/>
                <w:color w:val="auto"/>
                <w:sz w:val="21"/>
                <w:szCs w:val="21"/>
              </w:rPr>
            </w:pPr>
            <w:r>
              <w:rPr>
                <w:rFonts w:hint="eastAsia" w:ascii="宋体" w:hAnsi="宋体" w:cs="宋体"/>
                <w:bCs/>
                <w:color w:val="auto"/>
                <w:sz w:val="21"/>
                <w:szCs w:val="21"/>
              </w:rPr>
              <w:t>绩</w:t>
            </w:r>
          </w:p>
          <w:p>
            <w:pPr>
              <w:spacing w:line="312" w:lineRule="auto"/>
              <w:rPr>
                <w:rFonts w:ascii="宋体" w:hAnsi="宋体" w:cs="宋体"/>
                <w:bCs/>
                <w:color w:val="auto"/>
                <w:sz w:val="21"/>
                <w:szCs w:val="21"/>
              </w:rPr>
            </w:pPr>
            <w:r>
              <w:rPr>
                <w:rFonts w:hint="eastAsia" w:ascii="宋体" w:hAnsi="宋体" w:cs="宋体"/>
                <w:bCs/>
                <w:color w:val="auto"/>
                <w:sz w:val="21"/>
                <w:szCs w:val="21"/>
              </w:rPr>
              <w:t>及</w:t>
            </w:r>
          </w:p>
          <w:p>
            <w:pPr>
              <w:spacing w:line="312" w:lineRule="auto"/>
              <w:rPr>
                <w:rFonts w:ascii="宋体" w:hAnsi="宋体" w:cs="宋体"/>
                <w:bCs/>
                <w:color w:val="auto"/>
                <w:sz w:val="21"/>
                <w:szCs w:val="21"/>
              </w:rPr>
            </w:pPr>
            <w:r>
              <w:rPr>
                <w:rFonts w:hint="eastAsia" w:ascii="宋体" w:hAnsi="宋体" w:cs="宋体"/>
                <w:bCs/>
                <w:color w:val="auto"/>
                <w:sz w:val="21"/>
                <w:szCs w:val="21"/>
              </w:rPr>
              <w:t>担</w:t>
            </w:r>
          </w:p>
          <w:p>
            <w:pPr>
              <w:spacing w:line="312" w:lineRule="auto"/>
              <w:rPr>
                <w:rFonts w:ascii="宋体" w:hAnsi="宋体" w:cs="宋体"/>
                <w:bCs/>
                <w:color w:val="auto"/>
                <w:sz w:val="21"/>
                <w:szCs w:val="21"/>
              </w:rPr>
            </w:pPr>
            <w:r>
              <w:rPr>
                <w:rFonts w:hint="eastAsia" w:ascii="宋体" w:hAnsi="宋体" w:cs="宋体"/>
                <w:bCs/>
                <w:color w:val="auto"/>
                <w:sz w:val="21"/>
                <w:szCs w:val="21"/>
              </w:rPr>
              <w:t>任</w:t>
            </w:r>
          </w:p>
          <w:p>
            <w:pPr>
              <w:spacing w:line="312" w:lineRule="auto"/>
              <w:rPr>
                <w:rFonts w:ascii="宋体" w:hAnsi="宋体" w:cs="宋体"/>
                <w:bCs/>
                <w:color w:val="auto"/>
                <w:sz w:val="21"/>
                <w:szCs w:val="21"/>
              </w:rPr>
            </w:pPr>
            <w:r>
              <w:rPr>
                <w:rFonts w:hint="eastAsia" w:ascii="宋体" w:hAnsi="宋体" w:cs="宋体"/>
                <w:bCs/>
                <w:color w:val="auto"/>
                <w:sz w:val="21"/>
                <w:szCs w:val="21"/>
              </w:rPr>
              <w:t>的</w:t>
            </w:r>
          </w:p>
          <w:p>
            <w:pPr>
              <w:spacing w:line="312" w:lineRule="auto"/>
              <w:rPr>
                <w:rFonts w:ascii="宋体" w:hAnsi="宋体" w:cs="宋体"/>
                <w:bCs/>
                <w:color w:val="auto"/>
                <w:sz w:val="21"/>
                <w:szCs w:val="21"/>
              </w:rPr>
            </w:pPr>
            <w:r>
              <w:rPr>
                <w:rFonts w:hint="eastAsia" w:ascii="宋体" w:hAnsi="宋体" w:cs="宋体"/>
                <w:bCs/>
                <w:color w:val="auto"/>
                <w:sz w:val="21"/>
                <w:szCs w:val="21"/>
              </w:rPr>
              <w:t>主</w:t>
            </w:r>
          </w:p>
          <w:p>
            <w:pPr>
              <w:spacing w:line="312" w:lineRule="auto"/>
              <w:rPr>
                <w:rFonts w:ascii="宋体" w:hAnsi="宋体" w:cs="宋体"/>
                <w:bCs/>
                <w:color w:val="auto"/>
                <w:sz w:val="21"/>
                <w:szCs w:val="21"/>
              </w:rPr>
            </w:pPr>
            <w:r>
              <w:rPr>
                <w:rFonts w:hint="eastAsia" w:ascii="宋体" w:hAnsi="宋体" w:cs="宋体"/>
                <w:bCs/>
                <w:color w:val="auto"/>
                <w:sz w:val="21"/>
                <w:szCs w:val="21"/>
              </w:rPr>
              <w:t>要</w:t>
            </w:r>
          </w:p>
          <w:p>
            <w:pPr>
              <w:spacing w:line="312" w:lineRule="auto"/>
              <w:rPr>
                <w:rFonts w:ascii="宋体" w:hAnsi="宋体" w:cs="宋体"/>
                <w:bCs/>
                <w:color w:val="auto"/>
                <w:sz w:val="21"/>
                <w:szCs w:val="21"/>
              </w:rPr>
            </w:pPr>
            <w:r>
              <w:rPr>
                <w:rFonts w:hint="eastAsia" w:ascii="宋体" w:hAnsi="宋体" w:cs="宋体"/>
                <w:bCs/>
                <w:color w:val="auto"/>
                <w:sz w:val="21"/>
                <w:szCs w:val="21"/>
              </w:rPr>
              <w:t>工</w:t>
            </w:r>
          </w:p>
          <w:p>
            <w:pPr>
              <w:spacing w:line="312" w:lineRule="auto"/>
              <w:rPr>
                <w:rFonts w:ascii="宋体" w:hAnsi="宋体" w:cs="宋体"/>
                <w:bCs/>
                <w:color w:val="auto"/>
                <w:sz w:val="21"/>
                <w:szCs w:val="21"/>
              </w:rPr>
            </w:pPr>
            <w:r>
              <w:rPr>
                <w:rFonts w:hint="eastAsia" w:ascii="宋体" w:hAnsi="宋体" w:cs="宋体"/>
                <w:bCs/>
                <w:color w:val="auto"/>
                <w:sz w:val="21"/>
                <w:szCs w:val="21"/>
              </w:rPr>
              <w:t>作</w:t>
            </w:r>
          </w:p>
        </w:tc>
        <w:tc>
          <w:tcPr>
            <w:tcW w:w="9373" w:type="dxa"/>
            <w:gridSpan w:val="4"/>
            <w:tcBorders>
              <w:top w:val="single" w:color="auto" w:sz="4" w:space="0"/>
              <w:left w:val="single" w:color="auto" w:sz="4" w:space="0"/>
              <w:bottom w:val="single" w:color="auto" w:sz="4" w:space="0"/>
              <w:right w:val="single" w:color="auto" w:sz="4" w:space="0"/>
            </w:tcBorders>
          </w:tcPr>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spacing w:line="312" w:lineRule="auto"/>
              <w:rPr>
                <w:rFonts w:ascii="宋体" w:hAnsi="宋体" w:cs="宋体"/>
                <w:bCs/>
                <w:color w:val="auto"/>
                <w:sz w:val="21"/>
                <w:szCs w:val="21"/>
              </w:rPr>
            </w:pPr>
          </w:p>
        </w:tc>
      </w:tr>
    </w:tbl>
    <w:p>
      <w:pPr>
        <w:topLinePunct/>
        <w:spacing w:line="312" w:lineRule="auto"/>
        <w:jc w:val="center"/>
        <w:rPr>
          <w:rFonts w:ascii="宋体" w:hAnsi="宋体" w:cs="宋体"/>
          <w:bCs/>
          <w:color w:val="auto"/>
          <w:sz w:val="21"/>
          <w:szCs w:val="21"/>
        </w:rPr>
      </w:pPr>
    </w:p>
    <w:p>
      <w:pPr>
        <w:pStyle w:val="6"/>
        <w:spacing w:line="312" w:lineRule="auto"/>
        <w:jc w:val="center"/>
        <w:rPr>
          <w:rFonts w:ascii="宋体" w:hAnsi="宋体" w:eastAsia="宋体" w:cs="宋体"/>
          <w:b w:val="0"/>
          <w:color w:val="auto"/>
        </w:rPr>
      </w:pPr>
      <w:bookmarkStart w:id="367" w:name="_Toc144974875"/>
      <w:bookmarkStart w:id="368" w:name="_Toc152045807"/>
      <w:bookmarkStart w:id="369" w:name="_Toc246997115"/>
      <w:bookmarkStart w:id="370" w:name="_Toc247085890"/>
      <w:bookmarkStart w:id="371" w:name="_Toc246996372"/>
      <w:bookmarkStart w:id="372" w:name="_Toc152042596"/>
      <w:bookmarkStart w:id="373" w:name="_Toc179632827"/>
      <w:r>
        <w:rPr>
          <w:rFonts w:hint="eastAsia" w:ascii="宋体" w:hAnsi="宋体" w:eastAsia="宋体" w:cs="宋体"/>
          <w:color w:val="auto"/>
          <w:szCs w:val="21"/>
        </w:rPr>
        <w:br w:type="page"/>
      </w:r>
      <w:bookmarkEnd w:id="367"/>
      <w:bookmarkEnd w:id="368"/>
      <w:bookmarkEnd w:id="369"/>
      <w:bookmarkEnd w:id="370"/>
      <w:bookmarkEnd w:id="371"/>
      <w:bookmarkEnd w:id="372"/>
      <w:bookmarkEnd w:id="373"/>
      <w:bookmarkStart w:id="374" w:name="_Toc32012"/>
      <w:bookmarkStart w:id="375" w:name="_Toc15585"/>
      <w:bookmarkStart w:id="376" w:name="_Toc1977"/>
      <w:bookmarkStart w:id="377" w:name="_Toc15638"/>
      <w:bookmarkStart w:id="378" w:name="_Toc2864"/>
      <w:bookmarkStart w:id="379" w:name="_Toc449519150"/>
      <w:r>
        <w:rPr>
          <w:rFonts w:hint="eastAsia" w:ascii="宋体" w:hAnsi="宋体" w:eastAsia="宋体" w:cs="宋体"/>
          <w:b w:val="0"/>
          <w:color w:val="auto"/>
        </w:rPr>
        <w:t>七、资格审查资料</w:t>
      </w:r>
      <w:bookmarkEnd w:id="374"/>
      <w:bookmarkEnd w:id="375"/>
      <w:bookmarkEnd w:id="376"/>
      <w:bookmarkEnd w:id="377"/>
    </w:p>
    <w:p>
      <w:pPr>
        <w:pStyle w:val="7"/>
        <w:spacing w:line="312" w:lineRule="auto"/>
        <w:jc w:val="center"/>
        <w:rPr>
          <w:rFonts w:ascii="宋体" w:hAnsi="宋体" w:cs="宋体"/>
          <w:b w:val="0"/>
          <w:color w:val="auto"/>
          <w:sz w:val="28"/>
          <w:szCs w:val="18"/>
        </w:rPr>
      </w:pPr>
      <w:bookmarkStart w:id="380" w:name="_Toc449518938"/>
      <w:bookmarkStart w:id="381" w:name="_Toc449519151"/>
      <w:bookmarkStart w:id="382" w:name="_Toc247085891"/>
      <w:bookmarkStart w:id="383" w:name="_Toc179632828"/>
      <w:bookmarkStart w:id="384" w:name="_Toc364364600"/>
      <w:bookmarkStart w:id="385" w:name="_Toc429345247"/>
      <w:bookmarkStart w:id="386" w:name="_Toc354066013"/>
      <w:bookmarkStart w:id="387" w:name="_Toc152045808"/>
      <w:bookmarkStart w:id="388" w:name="_Toc411773180"/>
      <w:bookmarkStart w:id="389" w:name="_Toc347385785"/>
      <w:bookmarkStart w:id="390" w:name="_Toc144974876"/>
      <w:bookmarkStart w:id="391" w:name="_Toc13655"/>
      <w:bookmarkStart w:id="392" w:name="_Toc246996373"/>
      <w:bookmarkStart w:id="393" w:name="_Toc5274"/>
      <w:bookmarkStart w:id="394" w:name="_Toc246997116"/>
      <w:bookmarkStart w:id="395" w:name="_Toc152042597"/>
      <w:r>
        <w:rPr>
          <w:rFonts w:hint="eastAsia" w:ascii="宋体" w:hAnsi="宋体" w:cs="宋体"/>
          <w:b w:val="0"/>
          <w:color w:val="auto"/>
          <w:sz w:val="28"/>
          <w:szCs w:val="18"/>
        </w:rPr>
        <w:t>（一）供应商基本情况表</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7"/>
        <w:gridCol w:w="932"/>
        <w:gridCol w:w="989"/>
        <w:gridCol w:w="1311"/>
        <w:gridCol w:w="327"/>
        <w:gridCol w:w="1119"/>
        <w:gridCol w:w="508"/>
        <w:gridCol w:w="895"/>
        <w:gridCol w:w="1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供应商名称</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注册地址</w:t>
            </w:r>
          </w:p>
        </w:tc>
        <w:tc>
          <w:tcPr>
            <w:tcW w:w="3559" w:type="dxa"/>
            <w:gridSpan w:val="4"/>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邮政编码</w:t>
            </w:r>
          </w:p>
        </w:tc>
        <w:tc>
          <w:tcPr>
            <w:tcW w:w="337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9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联系方式</w:t>
            </w: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联系人</w:t>
            </w:r>
          </w:p>
        </w:tc>
        <w:tc>
          <w:tcPr>
            <w:tcW w:w="262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电 话</w:t>
            </w:r>
          </w:p>
        </w:tc>
        <w:tc>
          <w:tcPr>
            <w:tcW w:w="337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9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传  真</w:t>
            </w:r>
          </w:p>
        </w:tc>
        <w:tc>
          <w:tcPr>
            <w:tcW w:w="262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网 址</w:t>
            </w:r>
          </w:p>
        </w:tc>
        <w:tc>
          <w:tcPr>
            <w:tcW w:w="337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组织结构</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法定代表人</w:t>
            </w: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姓名</w:t>
            </w:r>
          </w:p>
        </w:tc>
        <w:tc>
          <w:tcPr>
            <w:tcW w:w="98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技术职称</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电话</w:t>
            </w:r>
          </w:p>
        </w:tc>
        <w:tc>
          <w:tcPr>
            <w:tcW w:w="1974"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技术负责人</w:t>
            </w: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姓名</w:t>
            </w:r>
          </w:p>
        </w:tc>
        <w:tc>
          <w:tcPr>
            <w:tcW w:w="98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技术职称</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电话</w:t>
            </w:r>
          </w:p>
        </w:tc>
        <w:tc>
          <w:tcPr>
            <w:tcW w:w="1974"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成立时间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6134" w:type="dxa"/>
            <w:gridSpan w:val="6"/>
            <w:tcBorders>
              <w:top w:val="single" w:color="auto" w:sz="4" w:space="0"/>
              <w:left w:val="single" w:color="auto" w:sz="4" w:space="0"/>
              <w:bottom w:val="single" w:color="auto" w:sz="4" w:space="0"/>
              <w:right w:val="single" w:color="auto" w:sz="4" w:space="0"/>
            </w:tcBorders>
            <w:vAlign w:val="center"/>
          </w:tcPr>
          <w:p>
            <w:pPr>
              <w:topLinePunct/>
              <w:spacing w:line="312" w:lineRule="auto"/>
              <w:ind w:firstLine="105" w:firstLineChars="50"/>
              <w:jc w:val="center"/>
              <w:rPr>
                <w:rFonts w:ascii="宋体" w:hAnsi="宋体" w:cs="宋体"/>
                <w:bCs/>
                <w:color w:val="auto"/>
                <w:sz w:val="21"/>
                <w:szCs w:val="21"/>
              </w:rPr>
            </w:pPr>
            <w:r>
              <w:rPr>
                <w:rFonts w:hint="eastAsia" w:ascii="宋体" w:hAnsi="宋体" w:cs="宋体"/>
                <w:bCs/>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企业资质等级</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其中</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营业执照号</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高级职称人员</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注册资金</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中级职称人员</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开户银行</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初级职称人员</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账号</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  工</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97" w:type="dxa"/>
            <w:tcBorders>
              <w:top w:val="single" w:color="auto" w:sz="4" w:space="0"/>
              <w:left w:val="single" w:color="auto" w:sz="4" w:space="0"/>
              <w:right w:val="single" w:color="auto" w:sz="4" w:space="0"/>
            </w:tcBorders>
            <w:vAlign w:val="center"/>
          </w:tcPr>
          <w:p>
            <w:pPr>
              <w:topLinePunct/>
              <w:spacing w:line="312" w:lineRule="auto"/>
              <w:ind w:firstLine="210" w:firstLineChars="100"/>
              <w:jc w:val="center"/>
              <w:rPr>
                <w:rFonts w:ascii="宋体" w:hAnsi="宋体" w:cs="宋体"/>
                <w:bCs/>
                <w:color w:val="auto"/>
                <w:sz w:val="21"/>
                <w:szCs w:val="21"/>
              </w:rPr>
            </w:pPr>
            <w:r>
              <w:rPr>
                <w:rFonts w:hint="eastAsia" w:ascii="宋体" w:hAnsi="宋体" w:cs="宋体"/>
                <w:bCs/>
                <w:color w:val="auto"/>
                <w:sz w:val="21"/>
                <w:szCs w:val="21"/>
              </w:rPr>
              <w:t>经营范围</w:t>
            </w:r>
          </w:p>
        </w:tc>
        <w:tc>
          <w:tcPr>
            <w:tcW w:w="8055" w:type="dxa"/>
            <w:gridSpan w:val="8"/>
            <w:tcBorders>
              <w:top w:val="single" w:color="auto" w:sz="4" w:space="0"/>
              <w:left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p>
            <w:pPr>
              <w:topLinePunct/>
              <w:spacing w:line="312" w:lineRule="auto"/>
              <w:jc w:val="center"/>
              <w:rPr>
                <w:rFonts w:ascii="宋体" w:hAnsi="宋体" w:cs="宋体"/>
                <w:bCs/>
                <w:color w:val="auto"/>
                <w:sz w:val="21"/>
                <w:szCs w:val="21"/>
              </w:rPr>
            </w:pPr>
          </w:p>
          <w:p>
            <w:pPr>
              <w:topLinePunct/>
              <w:spacing w:line="312" w:lineRule="auto"/>
              <w:jc w:val="center"/>
              <w:rPr>
                <w:rFonts w:ascii="宋体" w:hAnsi="宋体" w:cs="宋体"/>
                <w:bCs/>
                <w:color w:val="auto"/>
                <w:sz w:val="21"/>
                <w:szCs w:val="21"/>
              </w:rPr>
            </w:pPr>
          </w:p>
          <w:p>
            <w:pPr>
              <w:topLinePunct/>
              <w:spacing w:line="312" w:lineRule="auto"/>
              <w:jc w:val="center"/>
              <w:rPr>
                <w:rFonts w:ascii="宋体" w:hAnsi="宋体" w:cs="宋体"/>
                <w:bCs/>
                <w:color w:val="auto"/>
                <w:sz w:val="21"/>
                <w:szCs w:val="21"/>
              </w:rPr>
            </w:pPr>
          </w:p>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bl>
    <w:p>
      <w:pPr>
        <w:topLinePunct/>
        <w:spacing w:line="312" w:lineRule="auto"/>
        <w:rPr>
          <w:rFonts w:ascii="宋体" w:hAnsi="宋体" w:cs="宋体"/>
          <w:bCs/>
          <w:color w:val="auto"/>
          <w:sz w:val="21"/>
          <w:szCs w:val="21"/>
        </w:rPr>
      </w:pPr>
      <w:r>
        <w:rPr>
          <w:rFonts w:hint="eastAsia" w:ascii="宋体" w:hAnsi="宋体" w:cs="宋体"/>
          <w:bCs/>
          <w:color w:val="auto"/>
          <w:sz w:val="21"/>
          <w:szCs w:val="21"/>
        </w:rPr>
        <w:t>备注：附供应商营业执照、资质证书和安全生产许可证等材料的复印件并加盖公章。</w:t>
      </w:r>
    </w:p>
    <w:p>
      <w:pPr>
        <w:spacing w:line="312" w:lineRule="auto"/>
        <w:rPr>
          <w:rFonts w:ascii="宋体" w:hAnsi="宋体" w:cs="宋体"/>
          <w:bCs/>
          <w:color w:val="auto"/>
          <w:sz w:val="20"/>
        </w:rPr>
      </w:pPr>
      <w:bookmarkStart w:id="396" w:name="_Toc152042602"/>
      <w:bookmarkStart w:id="397" w:name="_Toc144974881"/>
      <w:bookmarkStart w:id="398" w:name="_Toc152045813"/>
      <w:bookmarkStart w:id="399" w:name="_Toc179632833"/>
    </w:p>
    <w:p>
      <w:pPr>
        <w:pStyle w:val="7"/>
        <w:spacing w:line="312" w:lineRule="auto"/>
        <w:jc w:val="center"/>
        <w:rPr>
          <w:rFonts w:ascii="宋体" w:hAnsi="宋体" w:cs="宋体"/>
          <w:b w:val="0"/>
          <w:color w:val="auto"/>
          <w:sz w:val="28"/>
          <w:szCs w:val="18"/>
        </w:rPr>
      </w:pPr>
      <w:bookmarkStart w:id="400" w:name="_Toc354066014"/>
      <w:bookmarkStart w:id="401" w:name="_Toc265953295"/>
      <w:bookmarkStart w:id="402" w:name="_Toc152042598"/>
      <w:bookmarkStart w:id="403" w:name="_Toc7020"/>
      <w:bookmarkStart w:id="404" w:name="_Toc247514301"/>
      <w:bookmarkStart w:id="405" w:name="_Toc364364601"/>
      <w:bookmarkStart w:id="406" w:name="_Toc152045809"/>
      <w:bookmarkStart w:id="407" w:name="_Toc449518939"/>
      <w:bookmarkStart w:id="408" w:name="_Toc144974877"/>
      <w:bookmarkStart w:id="409" w:name="_Toc247527849"/>
      <w:bookmarkStart w:id="410" w:name="_Toc411773181"/>
      <w:bookmarkStart w:id="411" w:name="_Toc347385786"/>
      <w:bookmarkStart w:id="412" w:name="_Toc429345248"/>
      <w:bookmarkStart w:id="413" w:name="_Toc3710"/>
      <w:bookmarkStart w:id="414" w:name="_Toc449519152"/>
      <w:r>
        <w:rPr>
          <w:rFonts w:hint="eastAsia" w:ascii="宋体" w:hAnsi="宋体" w:cs="宋体"/>
          <w:b w:val="0"/>
          <w:color w:val="auto"/>
          <w:sz w:val="28"/>
          <w:szCs w:val="18"/>
        </w:rPr>
        <w:t>（二）近年财务状况表</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tbl>
      <w:tblPr>
        <w:tblStyle w:val="58"/>
        <w:tblW w:w="0" w:type="auto"/>
        <w:tblInd w:w="108" w:type="dxa"/>
        <w:tblLayout w:type="fixed"/>
        <w:tblCellMar>
          <w:top w:w="0" w:type="dxa"/>
          <w:left w:w="108" w:type="dxa"/>
          <w:bottom w:w="0" w:type="dxa"/>
          <w:right w:w="108" w:type="dxa"/>
        </w:tblCellMar>
      </w:tblPr>
      <w:tblGrid>
        <w:gridCol w:w="3260"/>
        <w:gridCol w:w="1240"/>
        <w:gridCol w:w="1680"/>
        <w:gridCol w:w="1680"/>
        <w:gridCol w:w="1680"/>
      </w:tblGrid>
      <w:tr>
        <w:tblPrEx>
          <w:tblCellMar>
            <w:top w:w="0" w:type="dxa"/>
            <w:left w:w="108" w:type="dxa"/>
            <w:bottom w:w="0" w:type="dxa"/>
            <w:right w:w="108" w:type="dxa"/>
          </w:tblCellMar>
        </w:tblPrEx>
        <w:trPr>
          <w:trHeight w:val="567" w:hRule="atLeast"/>
        </w:trPr>
        <w:tc>
          <w:tcPr>
            <w:tcW w:w="326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项目或指标</w:t>
            </w:r>
          </w:p>
        </w:tc>
        <w:tc>
          <w:tcPr>
            <w:tcW w:w="124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单位</w:t>
            </w:r>
          </w:p>
        </w:tc>
        <w:tc>
          <w:tcPr>
            <w:tcW w:w="168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总资产</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流动资产</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货币资金</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固定资产（原值）</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固定资产（净值）</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流动负债</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长期负债</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主营业务收入</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利润总额</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税后利润</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4092" w:hRule="atLeast"/>
        </w:trPr>
        <w:tc>
          <w:tcPr>
            <w:tcW w:w="3260"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备     注</w:t>
            </w: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tc>
        <w:tc>
          <w:tcPr>
            <w:tcW w:w="6280"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bl>
    <w:p>
      <w:pPr>
        <w:topLinePunct/>
        <w:spacing w:line="312" w:lineRule="auto"/>
        <w:rPr>
          <w:rFonts w:ascii="宋体" w:hAnsi="宋体" w:cs="宋体"/>
          <w:bCs/>
          <w:color w:val="auto"/>
          <w:sz w:val="21"/>
          <w:szCs w:val="21"/>
        </w:rPr>
      </w:pPr>
      <w:r>
        <w:rPr>
          <w:rFonts w:hint="eastAsia" w:ascii="宋体" w:hAnsi="宋体" w:cs="宋体"/>
          <w:bCs/>
          <w:color w:val="auto"/>
          <w:sz w:val="21"/>
          <w:szCs w:val="21"/>
        </w:rPr>
        <w:t>附经</w:t>
      </w:r>
      <w:r>
        <w:rPr>
          <w:rFonts w:hint="eastAsia" w:ascii="宋体" w:hAnsi="宋体" w:cs="宋体"/>
          <w:color w:val="auto"/>
          <w:sz w:val="21"/>
          <w:szCs w:val="21"/>
        </w:rPr>
        <w:t>会计师事务所审计的财务报告</w:t>
      </w:r>
      <w:r>
        <w:rPr>
          <w:rFonts w:hint="eastAsia" w:ascii="宋体" w:hAnsi="宋体" w:cs="宋体"/>
          <w:bCs/>
          <w:color w:val="auto"/>
          <w:sz w:val="21"/>
          <w:szCs w:val="21"/>
        </w:rPr>
        <w:t>复印件并加盖公章，具体年份要求见供应商须知前附表。</w:t>
      </w:r>
    </w:p>
    <w:p>
      <w:pPr>
        <w:spacing w:line="312" w:lineRule="auto"/>
        <w:rPr>
          <w:rFonts w:ascii="宋体" w:hAnsi="宋体" w:cs="宋体"/>
          <w:bCs/>
          <w:color w:val="auto"/>
          <w:sz w:val="23"/>
          <w:szCs w:val="23"/>
        </w:rPr>
      </w:pPr>
      <w:r>
        <w:rPr>
          <w:rFonts w:hint="eastAsia" w:ascii="宋体" w:hAnsi="宋体" w:cs="宋体"/>
          <w:bCs/>
          <w:color w:val="auto"/>
          <w:sz w:val="20"/>
        </w:rPr>
        <w:br w:type="page"/>
      </w:r>
    </w:p>
    <w:p>
      <w:pPr>
        <w:pStyle w:val="7"/>
        <w:numPr>
          <w:ilvl w:val="0"/>
          <w:numId w:val="10"/>
        </w:numPr>
        <w:spacing w:line="312" w:lineRule="auto"/>
        <w:jc w:val="center"/>
        <w:rPr>
          <w:rFonts w:ascii="宋体" w:hAnsi="宋体" w:cs="宋体"/>
          <w:b w:val="0"/>
          <w:bCs/>
          <w:color w:val="auto"/>
          <w:sz w:val="28"/>
          <w:szCs w:val="18"/>
        </w:rPr>
      </w:pPr>
      <w:bookmarkStart w:id="415" w:name="_Toc1884"/>
      <w:bookmarkStart w:id="416" w:name="_Toc7695"/>
      <w:bookmarkStart w:id="417" w:name="_Toc265953296"/>
      <w:bookmarkStart w:id="418" w:name="_Toc429345249"/>
      <w:bookmarkStart w:id="419" w:name="_Toc364364602"/>
      <w:bookmarkStart w:id="420" w:name="_Toc247527850"/>
      <w:bookmarkStart w:id="421" w:name="_Toc247514302"/>
      <w:bookmarkStart w:id="422" w:name="_Toc449519153"/>
      <w:bookmarkStart w:id="423" w:name="_Toc144974878"/>
      <w:bookmarkStart w:id="424" w:name="_Toc347385787"/>
      <w:bookmarkStart w:id="425" w:name="_Toc411773182"/>
      <w:bookmarkStart w:id="426" w:name="_Toc354066015"/>
      <w:bookmarkStart w:id="427" w:name="_Toc449518940"/>
      <w:bookmarkStart w:id="428" w:name="_Toc152042599"/>
      <w:bookmarkStart w:id="429" w:name="_Toc152045810"/>
      <w:r>
        <w:rPr>
          <w:rFonts w:hint="eastAsia" w:ascii="宋体" w:hAnsi="宋体" w:cs="宋体"/>
          <w:b w:val="0"/>
          <w:bCs/>
          <w:color w:val="auto"/>
          <w:sz w:val="28"/>
          <w:szCs w:val="18"/>
        </w:rPr>
        <w:t>近年完成的类似项目汇总表</w:t>
      </w:r>
      <w:bookmarkEnd w:id="415"/>
      <w:bookmarkEnd w:id="416"/>
    </w:p>
    <w:bookmarkEnd w:id="417"/>
    <w:bookmarkEnd w:id="418"/>
    <w:bookmarkEnd w:id="419"/>
    <w:bookmarkEnd w:id="420"/>
    <w:bookmarkEnd w:id="421"/>
    <w:bookmarkEnd w:id="422"/>
    <w:bookmarkEnd w:id="423"/>
    <w:bookmarkEnd w:id="424"/>
    <w:bookmarkEnd w:id="425"/>
    <w:bookmarkEnd w:id="426"/>
    <w:bookmarkEnd w:id="427"/>
    <w:bookmarkEnd w:id="428"/>
    <w:bookmarkEnd w:id="429"/>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项目名称</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项目所在地</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发包人名称</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发包人地址</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发包人电话</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合同价格</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开工日期</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竣工日期</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承担的工作</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工程质量</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技术负责人</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项目描述</w:t>
            </w:r>
          </w:p>
        </w:tc>
        <w:tc>
          <w:tcPr>
            <w:tcW w:w="7199" w:type="dxa"/>
          </w:tcPr>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7199" w:type="dxa"/>
          </w:tcPr>
          <w:p>
            <w:pPr>
              <w:topLinePunct/>
              <w:spacing w:line="312" w:lineRule="auto"/>
              <w:rPr>
                <w:rFonts w:ascii="宋体" w:hAnsi="宋体" w:cs="宋体"/>
                <w:bCs/>
                <w:color w:val="auto"/>
                <w:sz w:val="21"/>
                <w:szCs w:val="21"/>
              </w:rPr>
            </w:pPr>
          </w:p>
        </w:tc>
      </w:tr>
    </w:tbl>
    <w:p>
      <w:pPr>
        <w:topLinePunct/>
        <w:spacing w:line="312" w:lineRule="auto"/>
        <w:rPr>
          <w:rFonts w:ascii="宋体" w:hAnsi="宋体" w:cs="宋体"/>
          <w:bCs/>
          <w:color w:val="auto"/>
          <w:sz w:val="21"/>
          <w:szCs w:val="21"/>
        </w:rPr>
      </w:pPr>
      <w:r>
        <w:rPr>
          <w:rFonts w:hint="eastAsia" w:ascii="宋体" w:hAnsi="宋体" w:cs="宋体"/>
          <w:bCs/>
          <w:color w:val="auto"/>
          <w:sz w:val="21"/>
          <w:szCs w:val="21"/>
        </w:rPr>
        <w:t>备注:附</w:t>
      </w:r>
      <w:r>
        <w:rPr>
          <w:rFonts w:hint="eastAsia" w:ascii="宋体" w:hAnsi="宋体" w:cs="宋体"/>
          <w:bCs/>
          <w:color w:val="auto"/>
          <w:kern w:val="0"/>
          <w:sz w:val="21"/>
          <w:szCs w:val="21"/>
        </w:rPr>
        <w:t>中标通知书或合同或竣工验收报告</w:t>
      </w:r>
      <w:r>
        <w:rPr>
          <w:rFonts w:hint="eastAsia" w:ascii="宋体" w:hAnsi="宋体" w:cs="宋体"/>
          <w:bCs/>
          <w:color w:val="auto"/>
          <w:sz w:val="21"/>
          <w:szCs w:val="21"/>
        </w:rPr>
        <w:t>复印件并加盖公章，具体年份要求见供应商须知前附表。每张表格只填写一个项目，并标明序号。</w:t>
      </w:r>
    </w:p>
    <w:p>
      <w:pPr>
        <w:spacing w:line="312" w:lineRule="auto"/>
        <w:rPr>
          <w:rFonts w:ascii="宋体" w:hAnsi="宋体" w:cs="宋体"/>
          <w:bCs/>
          <w:color w:val="auto"/>
          <w:sz w:val="23"/>
          <w:szCs w:val="23"/>
        </w:rPr>
      </w:pPr>
    </w:p>
    <w:p>
      <w:pPr>
        <w:pStyle w:val="7"/>
        <w:spacing w:line="312" w:lineRule="auto"/>
        <w:jc w:val="center"/>
        <w:rPr>
          <w:rFonts w:ascii="宋体" w:hAnsi="宋体" w:cs="宋体"/>
          <w:b w:val="0"/>
          <w:color w:val="auto"/>
          <w:sz w:val="28"/>
          <w:szCs w:val="18"/>
        </w:rPr>
      </w:pPr>
      <w:bookmarkStart w:id="430" w:name="_Toc354066016"/>
      <w:bookmarkStart w:id="431" w:name="_Toc144974879"/>
      <w:bookmarkStart w:id="432" w:name="_Toc247527851"/>
      <w:bookmarkStart w:id="433" w:name="_Toc449518941"/>
      <w:bookmarkStart w:id="434" w:name="_Toc347385788"/>
      <w:bookmarkStart w:id="435" w:name="_Toc364364603"/>
      <w:bookmarkStart w:id="436" w:name="_Toc152045811"/>
      <w:bookmarkStart w:id="437" w:name="_Toc25395"/>
      <w:bookmarkStart w:id="438" w:name="_Toc449519154"/>
      <w:bookmarkStart w:id="439" w:name="_Toc152042600"/>
      <w:bookmarkStart w:id="440" w:name="_Toc265953297"/>
      <w:bookmarkStart w:id="441" w:name="_Toc21295"/>
      <w:bookmarkStart w:id="442" w:name="_Toc429345250"/>
      <w:bookmarkStart w:id="443" w:name="_Toc247514303"/>
      <w:bookmarkStart w:id="444" w:name="_Toc411773183"/>
      <w:r>
        <w:rPr>
          <w:rFonts w:hint="eastAsia" w:ascii="宋体" w:hAnsi="宋体" w:cs="宋体"/>
          <w:b w:val="0"/>
          <w:color w:val="auto"/>
          <w:sz w:val="28"/>
          <w:szCs w:val="18"/>
        </w:rPr>
        <w:t>（四）正在实施的和新承接的项目情况表</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项目名称</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项目所在地</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发包人名称</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发包人地址</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发包人电话</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签约合同价</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开工日期</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计划竣工日期</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承担的工作</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工程质量</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技术负责人</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项目描述</w:t>
            </w:r>
          </w:p>
        </w:tc>
        <w:tc>
          <w:tcPr>
            <w:tcW w:w="7649" w:type="dxa"/>
          </w:tcPr>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7649" w:type="dxa"/>
          </w:tcPr>
          <w:p>
            <w:pPr>
              <w:topLinePunct/>
              <w:spacing w:line="312" w:lineRule="auto"/>
              <w:rPr>
                <w:rFonts w:ascii="宋体" w:hAnsi="宋体" w:cs="宋体"/>
                <w:bCs/>
                <w:color w:val="auto"/>
                <w:sz w:val="21"/>
                <w:szCs w:val="21"/>
              </w:rPr>
            </w:pPr>
          </w:p>
        </w:tc>
      </w:tr>
    </w:tbl>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备注: 附中标通知书或合同复印件。每张表格只填写一个项目，并标明序号。</w:t>
      </w:r>
    </w:p>
    <w:p>
      <w:pPr>
        <w:spacing w:line="312" w:lineRule="auto"/>
        <w:rPr>
          <w:rFonts w:ascii="宋体" w:hAnsi="宋体" w:cs="宋体"/>
          <w:bCs/>
          <w:color w:val="auto"/>
          <w:sz w:val="20"/>
        </w:rPr>
      </w:pPr>
    </w:p>
    <w:p>
      <w:pPr>
        <w:spacing w:line="312" w:lineRule="auto"/>
        <w:ind w:firstLine="500" w:firstLineChars="250"/>
        <w:jc w:val="center"/>
        <w:rPr>
          <w:rFonts w:ascii="宋体" w:hAnsi="宋体" w:cs="宋体"/>
          <w:bCs/>
          <w:color w:val="auto"/>
          <w:sz w:val="20"/>
        </w:rPr>
      </w:pPr>
    </w:p>
    <w:p>
      <w:pPr>
        <w:pStyle w:val="7"/>
        <w:spacing w:line="312" w:lineRule="auto"/>
        <w:jc w:val="center"/>
        <w:rPr>
          <w:rFonts w:ascii="宋体" w:hAnsi="宋体" w:cs="宋体"/>
          <w:b w:val="0"/>
          <w:color w:val="auto"/>
        </w:rPr>
      </w:pPr>
      <w:bookmarkStart w:id="445" w:name="_Toc364364604"/>
      <w:bookmarkStart w:id="446" w:name="_Toc247085892"/>
      <w:bookmarkStart w:id="447" w:name="_Toc449519155"/>
      <w:bookmarkStart w:id="448" w:name="_Toc449518942"/>
      <w:bookmarkStart w:id="449" w:name="_Toc246997117"/>
      <w:bookmarkStart w:id="450" w:name="_Toc429345251"/>
      <w:bookmarkStart w:id="451" w:name="_Toc246996374"/>
      <w:bookmarkStart w:id="452" w:name="_Toc354066017"/>
      <w:bookmarkStart w:id="453" w:name="_Toc411773184"/>
      <w:bookmarkStart w:id="454" w:name="_Toc347385789"/>
      <w:r>
        <w:rPr>
          <w:rFonts w:hint="eastAsia" w:ascii="宋体" w:hAnsi="宋体" w:cs="宋体"/>
          <w:b w:val="0"/>
          <w:color w:val="auto"/>
        </w:rPr>
        <w:br w:type="page"/>
      </w:r>
      <w:bookmarkStart w:id="455" w:name="_Toc10668"/>
      <w:bookmarkStart w:id="456" w:name="_Toc17269"/>
      <w:r>
        <w:rPr>
          <w:rFonts w:hint="eastAsia" w:ascii="宋体" w:hAnsi="宋体" w:cs="宋体"/>
          <w:b w:val="0"/>
          <w:color w:val="auto"/>
          <w:sz w:val="28"/>
          <w:szCs w:val="18"/>
        </w:rPr>
        <w:t>（五）其他资格审查资料</w:t>
      </w:r>
      <w:bookmarkEnd w:id="396"/>
      <w:bookmarkEnd w:id="397"/>
      <w:bookmarkEnd w:id="398"/>
      <w:bookmarkEnd w:id="399"/>
      <w:bookmarkEnd w:id="445"/>
      <w:bookmarkEnd w:id="446"/>
      <w:bookmarkEnd w:id="447"/>
      <w:bookmarkEnd w:id="448"/>
      <w:bookmarkEnd w:id="449"/>
      <w:bookmarkEnd w:id="450"/>
      <w:bookmarkEnd w:id="451"/>
      <w:bookmarkEnd w:id="452"/>
      <w:bookmarkEnd w:id="453"/>
      <w:bookmarkEnd w:id="454"/>
      <w:bookmarkEnd w:id="455"/>
      <w:bookmarkEnd w:id="456"/>
    </w:p>
    <w:p>
      <w:pPr>
        <w:pStyle w:val="8"/>
        <w:spacing w:line="312" w:lineRule="auto"/>
        <w:jc w:val="center"/>
        <w:rPr>
          <w:rFonts w:ascii="宋体" w:hAnsi="宋体" w:cs="宋体"/>
          <w:color w:val="auto"/>
          <w:sz w:val="21"/>
          <w:szCs w:val="21"/>
        </w:rPr>
      </w:pPr>
      <w:r>
        <w:rPr>
          <w:rFonts w:hint="eastAsia" w:ascii="宋体" w:hAnsi="宋体" w:cs="宋体"/>
          <w:color w:val="auto"/>
        </w:rPr>
        <w:br w:type="page"/>
      </w:r>
      <w:r>
        <w:rPr>
          <w:rFonts w:hint="eastAsia" w:ascii="宋体" w:hAnsi="宋体" w:cs="宋体"/>
          <w:color w:val="auto"/>
          <w:sz w:val="28"/>
          <w:szCs w:val="28"/>
        </w:rPr>
        <w:t>承诺函</w:t>
      </w:r>
    </w:p>
    <w:p>
      <w:pPr>
        <w:spacing w:line="480" w:lineRule="auto"/>
        <w:ind w:left="420" w:hanging="420" w:hangingChars="200"/>
        <w:rPr>
          <w:rFonts w:ascii="宋体" w:hAnsi="宋体" w:cs="宋体"/>
          <w:color w:val="auto"/>
          <w:sz w:val="21"/>
          <w:szCs w:val="21"/>
        </w:rPr>
      </w:pPr>
      <w:r>
        <w:rPr>
          <w:rFonts w:hint="eastAsia" w:ascii="宋体" w:hAnsi="宋体" w:cs="宋体"/>
          <w:color w:val="auto"/>
          <w:sz w:val="21"/>
          <w:szCs w:val="21"/>
        </w:rPr>
        <w:t>致东北师范大学：</w:t>
      </w:r>
    </w:p>
    <w:p>
      <w:pPr>
        <w:spacing w:line="480" w:lineRule="auto"/>
        <w:ind w:left="636" w:leftChars="227"/>
        <w:rPr>
          <w:rFonts w:ascii="宋体" w:hAnsi="宋体" w:cs="宋体"/>
          <w:color w:val="auto"/>
          <w:spacing w:val="15"/>
          <w:sz w:val="21"/>
          <w:szCs w:val="21"/>
        </w:rPr>
      </w:pPr>
      <w:r>
        <w:rPr>
          <w:rFonts w:hint="eastAsia" w:ascii="宋体" w:hAnsi="宋体" w:cs="宋体"/>
          <w:color w:val="auto"/>
          <w:spacing w:val="15"/>
          <w:sz w:val="21"/>
          <w:szCs w:val="21"/>
        </w:rPr>
        <w:t xml:space="preserve">针对本公司参与的____________项目，（项目编号：__________）    </w:t>
      </w:r>
    </w:p>
    <w:p>
      <w:pPr>
        <w:spacing w:line="400" w:lineRule="exact"/>
        <w:ind w:left="480" w:hanging="480" w:hangingChars="200"/>
        <w:rPr>
          <w:rFonts w:ascii="宋体" w:hAnsi="宋体" w:cs="宋体"/>
          <w:color w:val="auto"/>
          <w:sz w:val="21"/>
          <w:szCs w:val="21"/>
        </w:rPr>
      </w:pPr>
      <w:r>
        <w:rPr>
          <w:rFonts w:hint="eastAsia" w:ascii="宋体" w:hAnsi="宋体" w:cs="宋体"/>
          <w:color w:val="auto"/>
          <w:spacing w:val="15"/>
          <w:sz w:val="21"/>
          <w:szCs w:val="21"/>
        </w:rPr>
        <w:t xml:space="preserve">   现郑重声</w:t>
      </w:r>
      <w:r>
        <w:rPr>
          <w:rFonts w:hint="eastAsia" w:ascii="宋体" w:hAnsi="宋体" w:cs="宋体"/>
          <w:color w:val="auto"/>
          <w:sz w:val="21"/>
          <w:szCs w:val="21"/>
        </w:rPr>
        <w:t>明，</w:t>
      </w:r>
    </w:p>
    <w:p>
      <w:pPr>
        <w:pStyle w:val="8"/>
        <w:spacing w:line="312" w:lineRule="auto"/>
        <w:jc w:val="left"/>
        <w:rPr>
          <w:rFonts w:ascii="宋体" w:hAnsi="宋体" w:cs="宋体"/>
          <w:color w:val="auto"/>
          <w:sz w:val="21"/>
          <w:szCs w:val="21"/>
        </w:rPr>
      </w:pPr>
    </w:p>
    <w:p>
      <w:pPr>
        <w:pStyle w:val="8"/>
        <w:spacing w:line="312" w:lineRule="auto"/>
        <w:ind w:left="385" w:leftChars="100" w:hanging="105" w:hangingChars="50"/>
        <w:jc w:val="left"/>
        <w:rPr>
          <w:rFonts w:ascii="宋体" w:hAnsi="宋体" w:cs="宋体"/>
          <w:color w:val="auto"/>
          <w:sz w:val="21"/>
          <w:szCs w:val="21"/>
        </w:rPr>
      </w:pPr>
      <w:r>
        <w:rPr>
          <w:rFonts w:hint="eastAsia" w:ascii="宋体" w:hAnsi="宋体" w:cs="宋体"/>
          <w:color w:val="auto"/>
          <w:sz w:val="21"/>
          <w:szCs w:val="21"/>
        </w:rPr>
        <w:t>1.我公司承诺完全符合中华人民共和国政府采购法第二十二条规定，即：</w:t>
      </w:r>
      <w:r>
        <w:rPr>
          <w:rFonts w:hint="eastAsia" w:ascii="宋体" w:hAnsi="宋体" w:cs="宋体"/>
          <w:color w:val="auto"/>
          <w:sz w:val="21"/>
          <w:szCs w:val="21"/>
        </w:rPr>
        <w:br w:type="textWrapping"/>
      </w:r>
      <w:r>
        <w:rPr>
          <w:rFonts w:hint="eastAsia" w:ascii="宋体" w:hAnsi="宋体" w:cs="宋体"/>
          <w:color w:val="auto"/>
          <w:sz w:val="21"/>
          <w:szCs w:val="21"/>
        </w:rPr>
        <w:t>（1）具有独立承担民事责任的能力；</w:t>
      </w:r>
      <w:r>
        <w:rPr>
          <w:rFonts w:hint="eastAsia" w:ascii="宋体" w:hAnsi="宋体" w:cs="宋体"/>
          <w:color w:val="auto"/>
          <w:sz w:val="21"/>
          <w:szCs w:val="21"/>
        </w:rPr>
        <w:br w:type="textWrapping"/>
      </w:r>
      <w:r>
        <w:rPr>
          <w:rFonts w:hint="eastAsia" w:ascii="宋体" w:hAnsi="宋体" w:cs="宋体"/>
          <w:color w:val="auto"/>
          <w:sz w:val="21"/>
          <w:szCs w:val="21"/>
        </w:rPr>
        <w:t>（2）具有良好的商业信誉和健全的财务会计制度；</w:t>
      </w:r>
      <w:r>
        <w:rPr>
          <w:rFonts w:hint="eastAsia" w:ascii="宋体" w:hAnsi="宋体" w:cs="宋体"/>
          <w:color w:val="auto"/>
          <w:sz w:val="21"/>
          <w:szCs w:val="21"/>
        </w:rPr>
        <w:br w:type="textWrapping"/>
      </w:r>
      <w:r>
        <w:rPr>
          <w:rFonts w:hint="eastAsia" w:ascii="宋体" w:hAnsi="宋体" w:cs="宋体"/>
          <w:color w:val="auto"/>
          <w:sz w:val="21"/>
          <w:szCs w:val="21"/>
        </w:rPr>
        <w:t>（3）具有履行合同所必需的设备和专业技术能力；</w:t>
      </w:r>
      <w:r>
        <w:rPr>
          <w:rFonts w:hint="eastAsia" w:ascii="宋体" w:hAnsi="宋体" w:cs="宋体"/>
          <w:color w:val="auto"/>
          <w:sz w:val="21"/>
          <w:szCs w:val="21"/>
        </w:rPr>
        <w:br w:type="textWrapping"/>
      </w:r>
      <w:r>
        <w:rPr>
          <w:rFonts w:hint="eastAsia" w:ascii="宋体" w:hAnsi="宋体" w:cs="宋体"/>
          <w:color w:val="auto"/>
          <w:sz w:val="21"/>
          <w:szCs w:val="21"/>
        </w:rPr>
        <w:t>（4）有依法缴纳税收和社会保障资金的良好记录；</w:t>
      </w:r>
      <w:r>
        <w:rPr>
          <w:rFonts w:hint="eastAsia" w:ascii="宋体" w:hAnsi="宋体" w:cs="宋体"/>
          <w:color w:val="auto"/>
          <w:sz w:val="21"/>
          <w:szCs w:val="21"/>
        </w:rPr>
        <w:br w:type="textWrapping"/>
      </w:r>
      <w:r>
        <w:rPr>
          <w:rFonts w:hint="eastAsia" w:ascii="宋体" w:hAnsi="宋体" w:cs="宋体"/>
          <w:color w:val="auto"/>
          <w:sz w:val="21"/>
          <w:szCs w:val="21"/>
        </w:rPr>
        <w:t>（5）参加政府采购活动前三年内，在经营活动中没有重大违法记录；</w:t>
      </w:r>
      <w:r>
        <w:rPr>
          <w:rFonts w:hint="eastAsia" w:ascii="宋体" w:hAnsi="宋体" w:cs="宋体"/>
          <w:color w:val="auto"/>
          <w:sz w:val="21"/>
          <w:szCs w:val="21"/>
        </w:rPr>
        <w:br w:type="textWrapping"/>
      </w:r>
      <w:r>
        <w:rPr>
          <w:rFonts w:hint="eastAsia" w:ascii="宋体" w:hAnsi="宋体" w:cs="宋体"/>
          <w:color w:val="auto"/>
          <w:sz w:val="21"/>
          <w:szCs w:val="21"/>
        </w:rPr>
        <w:t>（6）法律、行政法规规定的其他条件</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2.我公司承诺不存在下列情形之一</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（1）为采购人不具有独立法人资格的附属机构(单位)；</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（2）为本项目前期准备提供设计或咨询服务的，但设计施工总承包的除外；</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（3）为本项目的监理人；</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（4）为本项目的代建人；</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（5）为本项目提供采购代理服务的；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（6）与本项目的监理人或代建人或采购代理机构同为一个法定代表人的；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（7）与本项目的监理人或代建人或采购代理机构相互控股或参股的；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（8）与本项目的监理人或代建人或采购代理机构相互任职或工作的；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（9）被责令停业的；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（10）被依法暂停或者取消投标资格；</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（11）被责令停产停业、暂扣或者吊销许可证、暂扣或者吊销执照；</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（12）进入清算程序，或被宣告破产，或其他丧失履约能力的情形；</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（13）在最近三年内发生重大工程质量问题（以相关行业主管部门的行政处罚决定或司法机关出具的有关法律文书为准）；</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（14）法律法规或供应商须知前附表规定的其他情形；</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3.不存在被政府列入取消投标资格期限内的企业或个人参与本项目的情况</w:t>
      </w:r>
      <w:r>
        <w:rPr>
          <w:rFonts w:hint="eastAsia" w:ascii="宋体" w:hAnsi="宋体" w:cs="宋体"/>
          <w:bCs/>
          <w:color w:val="auto"/>
          <w:sz w:val="21"/>
          <w:szCs w:val="21"/>
          <w:lang w:val="zh-CN"/>
        </w:rPr>
        <w:t>。</w:t>
      </w:r>
    </w:p>
    <w:p>
      <w:pPr>
        <w:pStyle w:val="8"/>
        <w:spacing w:line="312" w:lineRule="auto"/>
        <w:jc w:val="left"/>
        <w:rPr>
          <w:rFonts w:ascii="宋体" w:hAnsi="宋体" w:cs="宋体"/>
          <w:bCs/>
          <w:color w:val="auto"/>
          <w:sz w:val="21"/>
          <w:szCs w:val="21"/>
        </w:rPr>
      </w:pPr>
      <w:r>
        <w:rPr>
          <w:rFonts w:hint="eastAsia" w:ascii="宋体" w:hAnsi="宋体" w:cs="宋体"/>
          <w:bCs/>
          <w:color w:val="auto"/>
          <w:sz w:val="21"/>
          <w:szCs w:val="21"/>
        </w:rPr>
        <w:t>4.不存在与采购人有利害关系可能影响磋商公正性的法人、其他组织或者个人的情况</w:t>
      </w:r>
      <w:r>
        <w:rPr>
          <w:rFonts w:hint="eastAsia" w:ascii="宋体" w:hAnsi="宋体" w:cs="宋体"/>
          <w:bCs/>
          <w:color w:val="auto"/>
          <w:sz w:val="21"/>
          <w:szCs w:val="21"/>
          <w:lang w:val="zh-CN"/>
        </w:rPr>
        <w:t>。</w:t>
      </w:r>
    </w:p>
    <w:p>
      <w:pPr>
        <w:pStyle w:val="8"/>
        <w:spacing w:line="312" w:lineRule="auto"/>
        <w:ind w:firstLine="0"/>
        <w:rPr>
          <w:rFonts w:ascii="宋体" w:hAnsi="宋体" w:cs="宋体"/>
          <w:color w:val="auto"/>
          <w:sz w:val="21"/>
          <w:szCs w:val="21"/>
        </w:rPr>
      </w:pPr>
    </w:p>
    <w:p>
      <w:pPr>
        <w:pStyle w:val="8"/>
        <w:spacing w:line="312" w:lineRule="auto"/>
        <w:jc w:val="right"/>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color w:val="auto"/>
          <w:sz w:val="21"/>
          <w:szCs w:val="21"/>
          <w:u w:val="single"/>
        </w:rPr>
        <w:t xml:space="preserve">                        （盖公章）</w:t>
      </w:r>
    </w:p>
    <w:p>
      <w:pPr>
        <w:pStyle w:val="8"/>
        <w:spacing w:line="312" w:lineRule="auto"/>
        <w:jc w:val="right"/>
        <w:rPr>
          <w:rFonts w:ascii="宋体" w:hAnsi="宋体" w:cs="宋体"/>
          <w:color w:val="auto"/>
          <w:sz w:val="21"/>
          <w:szCs w:val="21"/>
          <w:u w:val="single"/>
        </w:rPr>
      </w:pPr>
    </w:p>
    <w:p>
      <w:pPr>
        <w:pStyle w:val="8"/>
        <w:spacing w:line="312" w:lineRule="auto"/>
        <w:jc w:val="right"/>
        <w:rPr>
          <w:rFonts w:ascii="宋体" w:hAnsi="宋体" w:cs="宋体"/>
          <w:color w:val="auto"/>
          <w:sz w:val="21"/>
          <w:szCs w:val="21"/>
          <w:u w:val="single"/>
        </w:rPr>
      </w:pPr>
    </w:p>
    <w:p>
      <w:pPr>
        <w:pStyle w:val="8"/>
        <w:spacing w:line="312" w:lineRule="auto"/>
        <w:jc w:val="right"/>
        <w:rPr>
          <w:rFonts w:ascii="宋体" w:hAnsi="宋体" w:cs="宋体"/>
          <w:color w:val="auto"/>
          <w:sz w:val="21"/>
          <w:szCs w:val="21"/>
          <w:u w:val="single"/>
        </w:rPr>
      </w:pPr>
      <w:r>
        <w:rPr>
          <w:rFonts w:hint="eastAsia" w:ascii="宋体" w:hAnsi="宋体" w:cs="宋体"/>
          <w:color w:val="auto"/>
          <w:sz w:val="21"/>
          <w:szCs w:val="21"/>
        </w:rPr>
        <w:t xml:space="preserve"> 法定代表人：</w:t>
      </w:r>
      <w:r>
        <w:rPr>
          <w:rFonts w:hint="eastAsia" w:ascii="宋体" w:hAnsi="宋体" w:cs="宋体"/>
          <w:color w:val="auto"/>
          <w:sz w:val="21"/>
          <w:szCs w:val="21"/>
          <w:u w:val="single"/>
        </w:rPr>
        <w:t xml:space="preserve">                   （签字或盖章）</w:t>
      </w:r>
    </w:p>
    <w:p>
      <w:pPr>
        <w:pStyle w:val="8"/>
        <w:spacing w:line="312" w:lineRule="auto"/>
        <w:jc w:val="right"/>
        <w:rPr>
          <w:rFonts w:ascii="宋体" w:hAnsi="宋体" w:cs="宋体"/>
          <w:color w:val="auto"/>
          <w:sz w:val="21"/>
          <w:szCs w:val="21"/>
          <w:u w:val="single"/>
        </w:rPr>
      </w:pPr>
    </w:p>
    <w:p>
      <w:pPr>
        <w:pStyle w:val="8"/>
        <w:spacing w:line="312" w:lineRule="auto"/>
        <w:jc w:val="right"/>
        <w:rPr>
          <w:rFonts w:ascii="宋体" w:hAnsi="宋体" w:cs="宋体"/>
          <w:color w:val="auto"/>
          <w:sz w:val="21"/>
          <w:szCs w:val="21"/>
        </w:rPr>
      </w:pPr>
    </w:p>
    <w:p>
      <w:pPr>
        <w:pStyle w:val="8"/>
        <w:spacing w:line="312" w:lineRule="auto"/>
        <w:jc w:val="right"/>
        <w:rPr>
          <w:rFonts w:ascii="宋体" w:hAnsi="宋体" w:cs="宋体"/>
          <w:color w:val="auto"/>
          <w:sz w:val="21"/>
          <w:szCs w:val="21"/>
        </w:rPr>
      </w:pPr>
      <w:r>
        <w:rPr>
          <w:rFonts w:hint="eastAsia" w:ascii="宋体" w:hAnsi="宋体" w:cs="宋体"/>
          <w:color w:val="auto"/>
          <w:sz w:val="21"/>
          <w:szCs w:val="21"/>
        </w:rPr>
        <w:t>年   月   日</w:t>
      </w:r>
    </w:p>
    <w:p>
      <w:pPr>
        <w:rPr>
          <w:rFonts w:ascii="宋体" w:hAnsi="宋体" w:cs="宋体"/>
          <w:color w:val="auto"/>
          <w:sz w:val="21"/>
          <w:szCs w:val="21"/>
        </w:rPr>
      </w:pPr>
      <w:r>
        <w:rPr>
          <w:rFonts w:hint="eastAsia" w:ascii="宋体" w:hAnsi="宋体" w:cs="宋体"/>
          <w:color w:val="auto"/>
          <w:sz w:val="21"/>
          <w:szCs w:val="21"/>
        </w:rPr>
        <w:br w:type="page"/>
      </w:r>
    </w:p>
    <w:p>
      <w:pPr>
        <w:jc w:val="center"/>
        <w:rPr>
          <w:rFonts w:ascii="宋体" w:hAnsi="宋体" w:cs="宋体"/>
          <w:color w:val="auto"/>
          <w:szCs w:val="28"/>
          <w:lang w:val="zh-TW" w:eastAsia="zh-TW"/>
        </w:rPr>
      </w:pPr>
      <w:r>
        <w:rPr>
          <w:rFonts w:hint="eastAsia" w:ascii="宋体" w:hAnsi="宋体" w:cs="宋体"/>
          <w:color w:val="auto"/>
          <w:szCs w:val="28"/>
          <w:lang w:val="zh-TW"/>
        </w:rPr>
        <w:t>供应商</w:t>
      </w:r>
      <w:r>
        <w:rPr>
          <w:rFonts w:hint="eastAsia" w:ascii="宋体" w:hAnsi="宋体" w:cs="宋体"/>
          <w:color w:val="auto"/>
          <w:szCs w:val="28"/>
          <w:lang w:val="zh-TW" w:eastAsia="zh-TW"/>
        </w:rPr>
        <w:t>承诺书</w:t>
      </w:r>
    </w:p>
    <w:p>
      <w:pPr>
        <w:spacing w:line="300" w:lineRule="auto"/>
        <w:ind w:firstLine="422" w:firstLineChars="200"/>
        <w:jc w:val="left"/>
        <w:rPr>
          <w:rFonts w:ascii="宋体" w:hAnsi="宋体" w:cs="仿宋"/>
          <w:b/>
          <w:bCs/>
          <w:color w:val="auto"/>
          <w:sz w:val="21"/>
          <w:szCs w:val="21"/>
          <w:lang w:val="zh-TW" w:eastAsia="zh-TW"/>
        </w:rPr>
      </w:pPr>
      <w:r>
        <w:rPr>
          <w:rFonts w:ascii="宋体" w:hAnsi="宋体" w:cs="仿宋"/>
          <w:b/>
          <w:bCs/>
          <w:color w:val="auto"/>
          <w:sz w:val="21"/>
          <w:szCs w:val="21"/>
          <w:lang w:val="zh-TW" w:eastAsia="zh-TW"/>
        </w:rPr>
        <w:t>致：东北师范大学</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 xml:space="preserve">    </w:t>
      </w:r>
      <w:r>
        <w:rPr>
          <w:rFonts w:ascii="宋体" w:hAnsi="宋体" w:cs="仿宋"/>
          <w:color w:val="auto"/>
          <w:sz w:val="21"/>
          <w:szCs w:val="21"/>
          <w:lang w:val="zh-TW" w:eastAsia="zh-TW"/>
        </w:rPr>
        <w:t>我</w:t>
      </w:r>
      <w:r>
        <w:rPr>
          <w:rFonts w:ascii="宋体" w:hAnsi="宋体" w:cs="仿宋"/>
          <w:color w:val="auto"/>
          <w:sz w:val="21"/>
          <w:szCs w:val="21"/>
          <w:lang w:val="zh-CN"/>
        </w:rPr>
        <w:t>公司</w:t>
      </w:r>
      <w:r>
        <w:rPr>
          <w:rFonts w:hint="eastAsia" w:ascii="宋体" w:hAnsi="宋体" w:cs="仿宋"/>
          <w:b/>
          <w:color w:val="auto"/>
          <w:sz w:val="21"/>
          <w:szCs w:val="21"/>
          <w:u w:val="single"/>
        </w:rPr>
        <w:t xml:space="preserve"> </w:t>
      </w:r>
      <w:r>
        <w:rPr>
          <w:rFonts w:ascii="宋体" w:hAnsi="宋体" w:cs="仿宋"/>
          <w:b/>
          <w:color w:val="auto"/>
          <w:sz w:val="21"/>
          <w:szCs w:val="21"/>
          <w:u w:val="single"/>
        </w:rPr>
        <w:t xml:space="preserve">                        </w:t>
      </w:r>
      <w:r>
        <w:rPr>
          <w:rFonts w:ascii="宋体" w:hAnsi="宋体" w:cs="仿宋"/>
          <w:color w:val="auto"/>
          <w:sz w:val="21"/>
          <w:szCs w:val="21"/>
          <w:lang w:val="zh-CN"/>
        </w:rPr>
        <w:t>于</w:t>
      </w:r>
      <w:r>
        <w:rPr>
          <w:rFonts w:hint="eastAsia" w:ascii="宋体" w:hAnsi="宋体" w:cs="仿宋"/>
          <w:color w:val="auto"/>
          <w:sz w:val="21"/>
          <w:szCs w:val="21"/>
        </w:rPr>
        <w:t>202</w:t>
      </w:r>
      <w:r>
        <w:rPr>
          <w:rFonts w:ascii="宋体" w:hAnsi="宋体" w:cs="仿宋"/>
          <w:color w:val="auto"/>
          <w:sz w:val="21"/>
          <w:szCs w:val="21"/>
        </w:rPr>
        <w:t>2</w:t>
      </w:r>
      <w:r>
        <w:rPr>
          <w:rFonts w:ascii="宋体" w:hAnsi="宋体" w:cs="仿宋"/>
          <w:color w:val="auto"/>
          <w:sz w:val="21"/>
          <w:szCs w:val="21"/>
          <w:lang w:val="zh-CN"/>
        </w:rPr>
        <w:t>年</w:t>
      </w:r>
      <w:r>
        <w:rPr>
          <w:rFonts w:hint="eastAsia" w:ascii="宋体" w:hAnsi="宋体" w:cs="仿宋"/>
          <w:color w:val="auto"/>
          <w:sz w:val="21"/>
          <w:szCs w:val="21"/>
          <w:u w:val="single"/>
        </w:rPr>
        <w:t xml:space="preserve">   </w:t>
      </w:r>
      <w:r>
        <w:rPr>
          <w:rFonts w:ascii="宋体" w:hAnsi="宋体" w:cs="仿宋"/>
          <w:color w:val="auto"/>
          <w:sz w:val="21"/>
          <w:szCs w:val="21"/>
          <w:lang w:val="zh-CN"/>
        </w:rPr>
        <w:t>月</w:t>
      </w:r>
      <w:r>
        <w:rPr>
          <w:rFonts w:hint="eastAsia" w:ascii="宋体" w:hAnsi="宋体" w:cs="仿宋"/>
          <w:color w:val="auto"/>
          <w:sz w:val="21"/>
          <w:szCs w:val="21"/>
          <w:lang w:val="zh-CN"/>
        </w:rPr>
        <w:t>参加</w:t>
      </w:r>
      <w:r>
        <w:rPr>
          <w:rFonts w:ascii="宋体" w:hAnsi="宋体" w:cs="仿宋"/>
          <w:color w:val="auto"/>
          <w:sz w:val="21"/>
          <w:szCs w:val="21"/>
          <w:lang w:val="zh-TW" w:eastAsia="zh-TW"/>
        </w:rPr>
        <w:t>东北师范大学</w:t>
      </w:r>
      <w:r>
        <w:rPr>
          <w:rFonts w:ascii="宋体" w:hAnsi="宋体" w:cs="仿宋"/>
          <w:color w:val="auto"/>
          <w:sz w:val="21"/>
          <w:szCs w:val="21"/>
          <w:u w:val="single"/>
          <w:lang w:val="zh-TW" w:eastAsia="zh-TW"/>
        </w:rPr>
        <w:t xml:space="preserve">                  </w:t>
      </w:r>
      <w:r>
        <w:rPr>
          <w:rFonts w:hint="eastAsia" w:ascii="宋体" w:hAnsi="宋体" w:cs="仿宋"/>
          <w:color w:val="auto"/>
          <w:sz w:val="21"/>
          <w:szCs w:val="21"/>
          <w:lang w:val="zh-TW"/>
        </w:rPr>
        <w:t>项目</w:t>
      </w:r>
      <w:r>
        <w:rPr>
          <w:rFonts w:ascii="宋体" w:hAnsi="宋体" w:cs="仿宋"/>
          <w:color w:val="auto"/>
          <w:sz w:val="21"/>
          <w:szCs w:val="21"/>
          <w:lang w:val="zh-TW" w:eastAsia="zh-TW"/>
        </w:rPr>
        <w:t>，</w:t>
      </w:r>
      <w:r>
        <w:rPr>
          <w:rFonts w:hint="eastAsia" w:ascii="宋体" w:hAnsi="宋体" w:cs="仿宋"/>
          <w:color w:val="auto"/>
          <w:sz w:val="21"/>
          <w:szCs w:val="21"/>
          <w:lang w:val="zh-TW"/>
        </w:rPr>
        <w:t>如我</w:t>
      </w:r>
      <w:r>
        <w:rPr>
          <w:rFonts w:ascii="宋体" w:hAnsi="宋体" w:cs="仿宋"/>
          <w:color w:val="auto"/>
          <w:sz w:val="21"/>
          <w:szCs w:val="21"/>
          <w:lang w:val="zh-TW"/>
        </w:rPr>
        <w:t>公司</w:t>
      </w:r>
      <w:r>
        <w:rPr>
          <w:rFonts w:hint="eastAsia" w:ascii="宋体" w:hAnsi="宋体" w:cs="仿宋"/>
          <w:color w:val="auto"/>
          <w:sz w:val="21"/>
          <w:szCs w:val="21"/>
          <w:lang w:val="zh-TW"/>
        </w:rPr>
        <w:t>成交</w:t>
      </w:r>
      <w:r>
        <w:rPr>
          <w:rFonts w:ascii="宋体" w:hAnsi="宋体" w:cs="仿宋"/>
          <w:color w:val="auto"/>
          <w:sz w:val="21"/>
          <w:szCs w:val="21"/>
          <w:lang w:val="zh-TW"/>
        </w:rPr>
        <w:t>，</w:t>
      </w:r>
      <w:r>
        <w:rPr>
          <w:rFonts w:ascii="宋体" w:hAnsi="宋体" w:cs="仿宋"/>
          <w:color w:val="auto"/>
          <w:sz w:val="21"/>
          <w:szCs w:val="21"/>
          <w:lang w:val="zh-TW" w:eastAsia="zh-TW"/>
        </w:rPr>
        <w:t>我公司将严格遵守《中华人民共和国建筑法》、《建筑工程施工违法行为认定查处管理办法》</w:t>
      </w:r>
      <w:r>
        <w:rPr>
          <w:rFonts w:ascii="宋体" w:hAnsi="宋体" w:cs="仿宋"/>
          <w:color w:val="auto"/>
          <w:sz w:val="21"/>
          <w:szCs w:val="21"/>
          <w:lang w:val="zh-CN"/>
        </w:rPr>
        <w:t>及国家及地方现行建设工程</w:t>
      </w:r>
      <w:r>
        <w:rPr>
          <w:rFonts w:ascii="宋体" w:hAnsi="宋体" w:cs="仿宋"/>
          <w:color w:val="auto"/>
          <w:sz w:val="21"/>
          <w:szCs w:val="21"/>
          <w:lang w:val="zh-TW" w:eastAsia="zh-TW"/>
        </w:rPr>
        <w:t>等法律法规</w:t>
      </w:r>
      <w:r>
        <w:rPr>
          <w:rFonts w:ascii="宋体" w:hAnsi="宋体" w:cs="仿宋"/>
          <w:color w:val="auto"/>
          <w:sz w:val="21"/>
          <w:szCs w:val="21"/>
          <w:lang w:val="zh-CN"/>
        </w:rPr>
        <w:t>规定</w:t>
      </w:r>
      <w:r>
        <w:rPr>
          <w:rFonts w:ascii="宋体" w:hAnsi="宋体" w:cs="仿宋"/>
          <w:color w:val="auto"/>
          <w:sz w:val="21"/>
          <w:szCs w:val="21"/>
          <w:lang w:val="zh-TW" w:eastAsia="zh-TW"/>
        </w:rPr>
        <w:t>，并向贵单位承诺：</w:t>
      </w:r>
    </w:p>
    <w:p>
      <w:pPr>
        <w:spacing w:line="300" w:lineRule="auto"/>
        <w:ind w:firstLine="420" w:firstLineChars="200"/>
        <w:jc w:val="left"/>
        <w:rPr>
          <w:rFonts w:ascii="宋体" w:hAnsi="宋体" w:cs="仿宋"/>
          <w:color w:val="auto"/>
          <w:sz w:val="21"/>
          <w:szCs w:val="21"/>
          <w:lang w:val="zh-TW" w:eastAsia="zh-TW"/>
        </w:rPr>
      </w:pPr>
      <w:r>
        <w:rPr>
          <w:rFonts w:hint="eastAsia" w:ascii="宋体" w:hAnsi="宋体" w:cs="仿宋"/>
          <w:color w:val="auto"/>
          <w:sz w:val="21"/>
          <w:szCs w:val="21"/>
          <w:lang w:val="zh-TW"/>
        </w:rPr>
        <w:t>1.</w:t>
      </w:r>
      <w:r>
        <w:rPr>
          <w:rFonts w:ascii="宋体" w:hAnsi="宋体" w:cs="仿宋"/>
          <w:color w:val="auto"/>
          <w:sz w:val="21"/>
          <w:szCs w:val="21"/>
          <w:lang w:val="zh-TW" w:eastAsia="zh-TW"/>
        </w:rPr>
        <w:t>我公司不存在挂靠、借用资质行为，</w:t>
      </w:r>
      <w:r>
        <w:rPr>
          <w:rFonts w:ascii="宋体" w:hAnsi="宋体" w:cs="仿宋"/>
          <w:color w:val="auto"/>
          <w:sz w:val="21"/>
          <w:szCs w:val="21"/>
          <w:lang w:val="zh-CN"/>
        </w:rPr>
        <w:t>如存在上述行为导致合同无效，我公司无条件撤出施工现场并按</w:t>
      </w:r>
      <w:r>
        <w:rPr>
          <w:rFonts w:hint="eastAsia" w:ascii="宋体" w:hAnsi="宋体" w:cs="仿宋"/>
          <w:color w:val="auto"/>
          <w:sz w:val="21"/>
          <w:szCs w:val="21"/>
          <w:lang w:val="zh-CN"/>
        </w:rPr>
        <w:t>合同相关约定</w:t>
      </w:r>
      <w:r>
        <w:rPr>
          <w:rFonts w:ascii="宋体" w:hAnsi="宋体" w:cs="仿宋"/>
          <w:color w:val="auto"/>
          <w:sz w:val="21"/>
          <w:szCs w:val="21"/>
          <w:lang w:val="zh-CN"/>
        </w:rPr>
        <w:t>支付贵单位赔偿金。</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2.</w:t>
      </w:r>
      <w:r>
        <w:rPr>
          <w:rFonts w:ascii="宋体" w:hAnsi="宋体" w:cs="仿宋"/>
          <w:color w:val="auto"/>
          <w:sz w:val="21"/>
          <w:szCs w:val="21"/>
          <w:lang w:val="zh-TW" w:eastAsia="zh-TW"/>
        </w:rPr>
        <w:t>施工过程中不转包、不分包</w:t>
      </w:r>
      <w:r>
        <w:rPr>
          <w:rFonts w:hint="eastAsia" w:ascii="宋体" w:hAnsi="宋体" w:cs="仿宋"/>
          <w:color w:val="auto"/>
          <w:sz w:val="21"/>
          <w:szCs w:val="21"/>
          <w:lang w:val="zh-TW"/>
        </w:rPr>
        <w:t>成交</w:t>
      </w:r>
      <w:r>
        <w:rPr>
          <w:rFonts w:ascii="宋体" w:hAnsi="宋体" w:cs="仿宋"/>
          <w:color w:val="auto"/>
          <w:sz w:val="21"/>
          <w:szCs w:val="21"/>
          <w:lang w:val="zh-TW" w:eastAsia="zh-TW"/>
        </w:rPr>
        <w:t>工程。</w:t>
      </w:r>
      <w:r>
        <w:rPr>
          <w:rFonts w:ascii="宋体" w:hAnsi="宋体" w:cs="仿宋"/>
          <w:color w:val="auto"/>
          <w:sz w:val="21"/>
          <w:szCs w:val="21"/>
          <w:lang w:val="zh-CN"/>
        </w:rPr>
        <w:t>如我公司发生上述任何一项行为，应无条件撤出施工现场并按</w:t>
      </w:r>
      <w:r>
        <w:rPr>
          <w:rFonts w:hint="eastAsia" w:ascii="宋体" w:hAnsi="宋体" w:cs="仿宋"/>
          <w:color w:val="auto"/>
          <w:sz w:val="21"/>
          <w:szCs w:val="21"/>
          <w:lang w:val="zh-CN"/>
        </w:rPr>
        <w:t>合同相关约定</w:t>
      </w:r>
      <w:r>
        <w:rPr>
          <w:rFonts w:ascii="宋体" w:hAnsi="宋体" w:cs="仿宋"/>
          <w:color w:val="auto"/>
          <w:sz w:val="21"/>
          <w:szCs w:val="21"/>
          <w:lang w:val="zh-CN"/>
        </w:rPr>
        <w:t>支付贵单位违约金。</w:t>
      </w:r>
    </w:p>
    <w:p>
      <w:pPr>
        <w:spacing w:line="300" w:lineRule="auto"/>
        <w:ind w:firstLine="420" w:firstLineChars="200"/>
        <w:jc w:val="left"/>
        <w:rPr>
          <w:rFonts w:ascii="宋体" w:hAnsi="宋体" w:cs="仿宋"/>
          <w:color w:val="auto"/>
          <w:sz w:val="21"/>
          <w:szCs w:val="21"/>
          <w:lang w:val="zh-TW" w:eastAsia="zh-TW"/>
        </w:rPr>
      </w:pPr>
      <w:r>
        <w:rPr>
          <w:rFonts w:hint="eastAsia" w:ascii="宋体" w:hAnsi="宋体" w:cs="仿宋"/>
          <w:color w:val="auto"/>
          <w:sz w:val="21"/>
          <w:szCs w:val="21"/>
        </w:rPr>
        <w:t>3</w:t>
      </w:r>
      <w:r>
        <w:rPr>
          <w:rFonts w:ascii="宋体" w:hAnsi="宋体" w:cs="仿宋"/>
          <w:color w:val="auto"/>
          <w:sz w:val="21"/>
          <w:szCs w:val="21"/>
          <w:lang w:val="zh-TW" w:eastAsia="zh-TW"/>
        </w:rPr>
        <w:t>.我</w:t>
      </w:r>
      <w:r>
        <w:rPr>
          <w:rFonts w:ascii="宋体" w:hAnsi="宋体" w:cs="仿宋"/>
          <w:color w:val="auto"/>
          <w:sz w:val="21"/>
          <w:szCs w:val="21"/>
          <w:lang w:val="zh-CN"/>
        </w:rPr>
        <w:t>公司</w:t>
      </w:r>
      <w:r>
        <w:rPr>
          <w:rFonts w:ascii="宋体" w:hAnsi="宋体" w:cs="仿宋"/>
          <w:color w:val="auto"/>
          <w:sz w:val="21"/>
          <w:szCs w:val="21"/>
          <w:lang w:val="zh-TW" w:eastAsia="zh-TW"/>
        </w:rPr>
        <w:t>承诺</w:t>
      </w:r>
      <w:r>
        <w:rPr>
          <w:rFonts w:ascii="宋体" w:hAnsi="宋体" w:cs="仿宋"/>
          <w:color w:val="auto"/>
          <w:sz w:val="21"/>
          <w:szCs w:val="21"/>
          <w:lang w:val="zh-CN"/>
        </w:rPr>
        <w:t>在项目施工过程中，按时足额支付农民工工资</w:t>
      </w:r>
      <w:r>
        <w:rPr>
          <w:rFonts w:ascii="宋体" w:hAnsi="宋体" w:cs="仿宋"/>
          <w:color w:val="auto"/>
          <w:sz w:val="21"/>
          <w:szCs w:val="21"/>
          <w:lang w:val="zh-TW" w:eastAsia="zh-TW"/>
        </w:rPr>
        <w:t>，杜绝任何影响学校声誉事件发生</w:t>
      </w:r>
      <w:r>
        <w:rPr>
          <w:rFonts w:ascii="宋体" w:hAnsi="宋体" w:cs="仿宋"/>
          <w:color w:val="auto"/>
          <w:sz w:val="21"/>
          <w:szCs w:val="21"/>
          <w:lang w:val="zh-CN"/>
        </w:rPr>
        <w:t>。如出现拖欠农民工工资的情况，我公司按</w:t>
      </w:r>
      <w:r>
        <w:rPr>
          <w:rFonts w:hint="eastAsia" w:ascii="宋体" w:hAnsi="宋体" w:cs="仿宋"/>
          <w:color w:val="auto"/>
          <w:sz w:val="21"/>
          <w:szCs w:val="21"/>
          <w:lang w:val="zh-CN"/>
        </w:rPr>
        <w:t>合同相关约定</w:t>
      </w:r>
      <w:r>
        <w:rPr>
          <w:rFonts w:ascii="宋体" w:hAnsi="宋体" w:cs="仿宋"/>
          <w:color w:val="auto"/>
          <w:sz w:val="21"/>
          <w:szCs w:val="21"/>
          <w:lang w:val="zh-CN"/>
        </w:rPr>
        <w:t>支付贵单位违约金。如因我公司拖欠农民工工资导致工人聚集或集体投诉、上访等情况对贵单位造成不良影响的，在上述违约金的基础上，按照</w:t>
      </w:r>
      <w:r>
        <w:rPr>
          <w:rFonts w:ascii="宋体" w:hAnsi="宋体" w:cs="仿宋"/>
          <w:color w:val="auto"/>
          <w:sz w:val="21"/>
          <w:szCs w:val="21"/>
          <w:lang w:val="zh-TW" w:eastAsia="zh-TW"/>
        </w:rPr>
        <w:t>施工</w:t>
      </w:r>
      <w:r>
        <w:rPr>
          <w:rFonts w:ascii="宋体" w:hAnsi="宋体" w:cs="仿宋"/>
          <w:color w:val="auto"/>
          <w:sz w:val="21"/>
          <w:szCs w:val="21"/>
          <w:lang w:val="zh-CN"/>
        </w:rPr>
        <w:t>合同</w:t>
      </w:r>
      <w:r>
        <w:rPr>
          <w:rFonts w:hint="eastAsia" w:ascii="宋体" w:hAnsi="宋体" w:cs="仿宋"/>
          <w:color w:val="auto"/>
          <w:sz w:val="21"/>
          <w:szCs w:val="21"/>
          <w:lang w:val="zh-TW"/>
        </w:rPr>
        <w:t>约定</w:t>
      </w:r>
      <w:r>
        <w:rPr>
          <w:rFonts w:ascii="宋体" w:hAnsi="宋体" w:cs="仿宋"/>
          <w:color w:val="auto"/>
          <w:sz w:val="21"/>
          <w:szCs w:val="21"/>
          <w:lang w:val="zh-CN"/>
        </w:rPr>
        <w:t>加付违约金。</w:t>
      </w:r>
    </w:p>
    <w:p>
      <w:pPr>
        <w:spacing w:line="300" w:lineRule="auto"/>
        <w:ind w:firstLine="420" w:firstLineChars="200"/>
        <w:jc w:val="left"/>
        <w:rPr>
          <w:rFonts w:ascii="宋体" w:hAnsi="宋体" w:cs="仿宋"/>
          <w:color w:val="auto"/>
          <w:sz w:val="21"/>
          <w:szCs w:val="21"/>
          <w:lang w:val="zh-CN"/>
        </w:rPr>
      </w:pPr>
      <w:r>
        <w:rPr>
          <w:rFonts w:hint="eastAsia" w:ascii="宋体" w:hAnsi="宋体" w:cs="仿宋"/>
          <w:color w:val="auto"/>
          <w:sz w:val="21"/>
          <w:szCs w:val="21"/>
        </w:rPr>
        <w:t>4</w:t>
      </w:r>
      <w:r>
        <w:rPr>
          <w:rFonts w:ascii="宋体" w:hAnsi="宋体" w:cs="仿宋"/>
          <w:color w:val="auto"/>
          <w:sz w:val="21"/>
          <w:szCs w:val="21"/>
          <w:lang w:val="zh-CN"/>
        </w:rPr>
        <w:t>.我公司承诺在项目施工过程中，严格遵守监理的各要求，服从监理的管理，并保证施工现场采取各项安全防护措施，对现场施工人员进行安全教育，保障现场施工安全。如出现任何安全事故或发生任何侵权后果，均由我公司承担全部赔偿责任。因此给贵单位造成损失的，我公司承担全部赔偿责任。</w:t>
      </w:r>
    </w:p>
    <w:p>
      <w:pPr>
        <w:pStyle w:val="9"/>
        <w:spacing w:before="0" w:after="0" w:line="300" w:lineRule="auto"/>
        <w:ind w:firstLine="420" w:firstLineChars="200"/>
        <w:rPr>
          <w:rFonts w:ascii="宋体" w:hAnsi="宋体" w:eastAsia="宋体" w:cs="仿宋"/>
          <w:b w:val="0"/>
          <w:color w:val="auto"/>
          <w:sz w:val="21"/>
          <w:szCs w:val="21"/>
          <w:lang w:val="zh-CN"/>
        </w:rPr>
      </w:pPr>
      <w:r>
        <w:rPr>
          <w:rFonts w:hint="eastAsia" w:ascii="宋体" w:hAnsi="宋体" w:eastAsia="宋体" w:cs="仿宋"/>
          <w:b w:val="0"/>
          <w:color w:val="auto"/>
          <w:sz w:val="21"/>
          <w:szCs w:val="21"/>
          <w:lang w:val="zh-CN"/>
        </w:rPr>
        <w:t>5.我</w:t>
      </w:r>
      <w:r>
        <w:rPr>
          <w:rFonts w:ascii="宋体" w:hAnsi="宋体" w:eastAsia="宋体" w:cs="仿宋"/>
          <w:b w:val="0"/>
          <w:color w:val="auto"/>
          <w:sz w:val="21"/>
          <w:szCs w:val="21"/>
          <w:lang w:val="zh-CN"/>
        </w:rPr>
        <w:t>公司充分理解并</w:t>
      </w:r>
      <w:r>
        <w:rPr>
          <w:rFonts w:hint="eastAsia" w:ascii="宋体" w:hAnsi="宋体" w:eastAsia="宋体" w:cs="仿宋"/>
          <w:b w:val="0"/>
          <w:color w:val="auto"/>
          <w:sz w:val="21"/>
          <w:szCs w:val="21"/>
          <w:lang w:val="zh-CN"/>
        </w:rPr>
        <w:t>无条件满足学校疫情防控相关要求，并且严格按照学校疫情防控要求落实各项举措，因我单位原因给学校造成的疫情防控风险和责任由我单位全部承担。我公司已充分考虑疫情防控情况下施工风险和难度，以及施工过程中的资金和人员投入，理解</w:t>
      </w:r>
      <w:r>
        <w:rPr>
          <w:rFonts w:ascii="宋体" w:hAnsi="宋体" w:eastAsia="宋体" w:cs="仿宋"/>
          <w:b w:val="0"/>
          <w:color w:val="auto"/>
          <w:sz w:val="21"/>
          <w:szCs w:val="21"/>
          <w:lang w:val="zh-CN"/>
        </w:rPr>
        <w:t>并认可</w:t>
      </w:r>
      <w:r>
        <w:rPr>
          <w:rFonts w:hint="eastAsia" w:ascii="宋体" w:hAnsi="宋体" w:eastAsia="宋体" w:cs="仿宋"/>
          <w:b w:val="0"/>
          <w:color w:val="auto"/>
          <w:sz w:val="21"/>
          <w:szCs w:val="21"/>
          <w:lang w:val="zh-CN"/>
        </w:rPr>
        <w:t>学校不在为施工过程中采取学校要求的全部疫情防控措施和手段另行支付费用。</w:t>
      </w:r>
    </w:p>
    <w:p>
      <w:pPr>
        <w:spacing w:line="300" w:lineRule="auto"/>
        <w:ind w:firstLine="420" w:firstLineChars="200"/>
        <w:rPr>
          <w:rFonts w:ascii="宋体" w:hAnsi="宋体" w:cs="仿宋"/>
          <w:color w:val="auto"/>
          <w:sz w:val="21"/>
          <w:szCs w:val="21"/>
          <w:lang w:val="zh-CN"/>
        </w:rPr>
      </w:pPr>
      <w:r>
        <w:rPr>
          <w:rFonts w:hint="eastAsia" w:ascii="宋体" w:hAnsi="宋体" w:cs="仿宋"/>
          <w:color w:val="auto"/>
          <w:sz w:val="21"/>
          <w:szCs w:val="21"/>
          <w:lang w:val="zh-CN"/>
        </w:rPr>
        <w:t>6.接到学校或使用单位发出的维修信息后，我公司</w:t>
      </w:r>
      <w:r>
        <w:rPr>
          <w:rFonts w:ascii="宋体" w:hAnsi="宋体" w:cs="仿宋"/>
          <w:color w:val="auto"/>
          <w:sz w:val="21"/>
          <w:szCs w:val="21"/>
          <w:lang w:val="zh-CN"/>
        </w:rPr>
        <w:t>承诺</w:t>
      </w:r>
      <w:r>
        <w:rPr>
          <w:rFonts w:hint="eastAsia" w:ascii="宋体" w:hAnsi="宋体" w:cs="仿宋"/>
          <w:color w:val="auto"/>
          <w:sz w:val="21"/>
          <w:szCs w:val="21"/>
          <w:lang w:val="zh-CN"/>
        </w:rPr>
        <w:t>4小时内到达现场，及时采取措施进行维修，无特殊情况，从接到维修信息至维修完毕原则上不超过48小时。我公司未能在上述规定时间内完成维修，或预留的联系方式未能联系上，学校有权使用质保金邀请第三方开展维修，我公司无条件对维修结算金额同意并认可。在保修期内，我公司每学期开学期间到使用单位回访，主动发现问题，及时处理。</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 xml:space="preserve">    </w:t>
      </w:r>
      <w:r>
        <w:rPr>
          <w:rFonts w:ascii="宋体" w:hAnsi="宋体" w:cs="仿宋"/>
          <w:color w:val="auto"/>
          <w:sz w:val="21"/>
          <w:szCs w:val="21"/>
          <w:lang w:val="zh-TW" w:eastAsia="zh-TW"/>
        </w:rPr>
        <w:t>若我单位在施工过程中违背上述承诺,愿意承担一切法律责任，放弃工程保证金，无条件撤出现场。</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 xml:space="preserve">    本承诺书出具于主合同签订之前，并独立于主合同（即合同）发生效力，</w:t>
      </w:r>
      <w:r>
        <w:rPr>
          <w:rFonts w:hint="eastAsia" w:ascii="宋体" w:hAnsi="宋体" w:cs="仿宋"/>
          <w:color w:val="auto"/>
          <w:sz w:val="21"/>
          <w:szCs w:val="21"/>
          <w:lang w:val="zh-CN"/>
        </w:rPr>
        <w:t>如上述承诺与国家相关法律相悖则以国家法律为主</w:t>
      </w:r>
      <w:r>
        <w:rPr>
          <w:rFonts w:ascii="宋体" w:hAnsi="宋体" w:cs="仿宋"/>
          <w:color w:val="auto"/>
          <w:sz w:val="21"/>
          <w:szCs w:val="21"/>
          <w:lang w:val="zh-CN"/>
        </w:rPr>
        <w:t>。</w:t>
      </w:r>
    </w:p>
    <w:p>
      <w:pPr>
        <w:rPr>
          <w:rFonts w:ascii="宋体" w:hAnsi="宋体" w:cs="仿宋"/>
          <w:color w:val="auto"/>
          <w:sz w:val="21"/>
          <w:szCs w:val="21"/>
          <w:lang w:val="zh-CN"/>
        </w:rPr>
      </w:pPr>
    </w:p>
    <w:p>
      <w:pPr>
        <w:ind w:firstLine="6300" w:firstLineChars="3000"/>
        <w:rPr>
          <w:rFonts w:ascii="宋体" w:hAnsi="宋体" w:cs="仿宋"/>
          <w:color w:val="auto"/>
          <w:sz w:val="21"/>
          <w:szCs w:val="21"/>
          <w:lang w:val="zh-TW" w:eastAsia="zh-TW"/>
        </w:rPr>
      </w:pPr>
      <w:r>
        <w:rPr>
          <w:rFonts w:ascii="宋体" w:hAnsi="宋体" w:cs="仿宋"/>
          <w:color w:val="auto"/>
          <w:sz w:val="21"/>
          <w:szCs w:val="21"/>
          <w:lang w:val="zh-CN"/>
        </w:rPr>
        <w:t>承诺</w:t>
      </w:r>
      <w:r>
        <w:rPr>
          <w:rFonts w:ascii="宋体" w:hAnsi="宋体" w:cs="仿宋"/>
          <w:color w:val="auto"/>
          <w:sz w:val="21"/>
          <w:szCs w:val="21"/>
          <w:lang w:val="zh-TW" w:eastAsia="zh-TW"/>
        </w:rPr>
        <w:t>单位（盖章）：</w:t>
      </w:r>
    </w:p>
    <w:p>
      <w:pPr>
        <w:ind w:firstLine="6300" w:firstLineChars="3000"/>
        <w:jc w:val="right"/>
        <w:rPr>
          <w:rFonts w:ascii="宋体" w:hAnsi="宋体" w:cs="仿宋"/>
          <w:color w:val="auto"/>
          <w:sz w:val="21"/>
          <w:szCs w:val="21"/>
          <w:lang w:val="zh-TW" w:eastAsia="zh-TW"/>
        </w:rPr>
      </w:pPr>
    </w:p>
    <w:p>
      <w:pPr>
        <w:ind w:firstLine="6300" w:firstLineChars="3000"/>
        <w:rPr>
          <w:rFonts w:ascii="宋体" w:hAnsi="宋体" w:cs="仿宋"/>
          <w:color w:val="auto"/>
          <w:sz w:val="21"/>
          <w:szCs w:val="21"/>
          <w:lang w:val="zh-TW" w:eastAsia="zh-TW"/>
        </w:rPr>
      </w:pPr>
      <w:r>
        <w:rPr>
          <w:rFonts w:ascii="宋体" w:hAnsi="宋体" w:cs="仿宋"/>
          <w:color w:val="auto"/>
          <w:sz w:val="21"/>
          <w:szCs w:val="21"/>
          <w:lang w:val="zh-TW" w:eastAsia="zh-TW"/>
        </w:rPr>
        <w:t>法定代表人（签字）：</w:t>
      </w:r>
    </w:p>
    <w:p>
      <w:pPr>
        <w:ind w:firstLine="6300" w:firstLineChars="3000"/>
        <w:jc w:val="right"/>
        <w:rPr>
          <w:rFonts w:ascii="宋体" w:hAnsi="宋体" w:cs="仿宋"/>
          <w:color w:val="auto"/>
          <w:sz w:val="21"/>
          <w:szCs w:val="21"/>
          <w:lang w:val="zh-TW" w:eastAsia="zh-TW"/>
        </w:rPr>
      </w:pPr>
    </w:p>
    <w:p>
      <w:pPr>
        <w:ind w:firstLine="6300" w:firstLineChars="3000"/>
        <w:rPr>
          <w:rFonts w:ascii="宋体" w:hAnsi="宋体"/>
          <w:color w:val="auto"/>
          <w:sz w:val="21"/>
          <w:szCs w:val="21"/>
        </w:rPr>
      </w:pPr>
      <w:r>
        <w:rPr>
          <w:rFonts w:ascii="宋体" w:hAnsi="宋体" w:cs="仿宋"/>
          <w:color w:val="auto"/>
          <w:sz w:val="21"/>
          <w:szCs w:val="21"/>
          <w:lang w:val="zh-TW" w:eastAsia="zh-TW"/>
        </w:rPr>
        <w:t>202</w:t>
      </w:r>
      <w:r>
        <w:rPr>
          <w:rFonts w:ascii="宋体" w:hAnsi="宋体" w:cs="仿宋"/>
          <w:color w:val="auto"/>
          <w:sz w:val="21"/>
          <w:szCs w:val="21"/>
        </w:rPr>
        <w:t>2</w:t>
      </w:r>
      <w:r>
        <w:rPr>
          <w:rFonts w:ascii="宋体" w:hAnsi="宋体" w:cs="仿宋"/>
          <w:color w:val="auto"/>
          <w:sz w:val="21"/>
          <w:szCs w:val="21"/>
          <w:lang w:val="zh-TW" w:eastAsia="zh-TW"/>
        </w:rPr>
        <w:t>年</w:t>
      </w:r>
      <w:r>
        <w:rPr>
          <w:rFonts w:hint="eastAsia" w:ascii="宋体" w:hAnsi="宋体" w:cs="仿宋"/>
          <w:color w:val="auto"/>
          <w:sz w:val="21"/>
          <w:szCs w:val="21"/>
          <w:lang w:val="zh-TW"/>
        </w:rPr>
        <w:t xml:space="preserve">   </w:t>
      </w:r>
      <w:r>
        <w:rPr>
          <w:rFonts w:ascii="宋体" w:hAnsi="宋体" w:cs="仿宋"/>
          <w:color w:val="auto"/>
          <w:sz w:val="21"/>
          <w:szCs w:val="21"/>
          <w:lang w:val="zh-TW" w:eastAsia="zh-TW"/>
        </w:rPr>
        <w:t>月</w:t>
      </w:r>
      <w:r>
        <w:rPr>
          <w:rFonts w:hint="eastAsia" w:ascii="宋体" w:hAnsi="宋体" w:cs="仿宋"/>
          <w:color w:val="auto"/>
          <w:sz w:val="21"/>
          <w:szCs w:val="21"/>
        </w:rPr>
        <w:t xml:space="preserve"> </w:t>
      </w:r>
      <w:r>
        <w:rPr>
          <w:rFonts w:ascii="宋体" w:hAnsi="宋体" w:cs="仿宋"/>
          <w:color w:val="auto"/>
          <w:sz w:val="21"/>
          <w:szCs w:val="21"/>
        </w:rPr>
        <w:t xml:space="preserve">  </w:t>
      </w:r>
      <w:r>
        <w:rPr>
          <w:rFonts w:hint="eastAsia" w:ascii="宋体" w:hAnsi="宋体" w:cs="仿宋"/>
          <w:color w:val="auto"/>
          <w:sz w:val="21"/>
          <w:szCs w:val="21"/>
        </w:rPr>
        <w:t xml:space="preserve"> </w:t>
      </w:r>
      <w:r>
        <w:rPr>
          <w:rFonts w:ascii="宋体" w:hAnsi="宋体" w:cs="仿宋"/>
          <w:color w:val="auto"/>
          <w:sz w:val="21"/>
          <w:szCs w:val="21"/>
          <w:lang w:val="zh-TW" w:eastAsia="zh-TW"/>
        </w:rPr>
        <w:t>日</w:t>
      </w:r>
    </w:p>
    <w:p>
      <w:pPr>
        <w:pStyle w:val="8"/>
        <w:spacing w:line="312" w:lineRule="auto"/>
        <w:jc w:val="right"/>
        <w:rPr>
          <w:rFonts w:ascii="宋体" w:hAnsi="宋体" w:cs="宋体"/>
          <w:color w:val="auto"/>
          <w:sz w:val="21"/>
          <w:szCs w:val="21"/>
        </w:rPr>
      </w:pPr>
    </w:p>
    <w:p>
      <w:pPr>
        <w:jc w:val="center"/>
        <w:rPr>
          <w:rFonts w:ascii="宋体" w:hAnsi="宋体" w:cs="宋体"/>
          <w:b/>
          <w:bCs/>
          <w:color w:val="auto"/>
          <w:sz w:val="21"/>
          <w:szCs w:val="21"/>
        </w:rPr>
      </w:pPr>
      <w:r>
        <w:rPr>
          <w:rFonts w:hint="eastAsia" w:ascii="宋体" w:hAnsi="宋体" w:cs="宋体"/>
          <w:b/>
          <w:bCs/>
          <w:color w:val="auto"/>
          <w:sz w:val="21"/>
          <w:szCs w:val="21"/>
        </w:rPr>
        <w:br w:type="page"/>
      </w:r>
      <w:r>
        <w:rPr>
          <w:rFonts w:hint="eastAsia" w:ascii="宋体" w:hAnsi="宋体" w:cs="宋体"/>
          <w:b/>
          <w:bCs/>
          <w:color w:val="auto"/>
          <w:sz w:val="21"/>
          <w:szCs w:val="21"/>
        </w:rPr>
        <w:t>中小企业声明函（工程）</w:t>
      </w:r>
    </w:p>
    <w:p>
      <w:pPr>
        <w:adjustRightInd w:val="0"/>
        <w:snapToGrid w:val="0"/>
        <w:spacing w:line="520" w:lineRule="atLeast"/>
        <w:ind w:firstLine="420" w:firstLineChars="200"/>
        <w:rPr>
          <w:rFonts w:ascii="宋体" w:hAnsi="宋体" w:cs="宋体"/>
          <w:color w:val="auto"/>
          <w:sz w:val="21"/>
          <w:szCs w:val="21"/>
          <w:u w:val="single"/>
        </w:rPr>
      </w:pPr>
      <w:r>
        <w:rPr>
          <w:rFonts w:hint="eastAsia" w:ascii="宋体" w:hAnsi="宋体" w:cs="宋体"/>
          <w:color w:val="auto"/>
          <w:sz w:val="21"/>
          <w:szCs w:val="21"/>
          <w:u w:val="singl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520" w:lineRule="atLeast"/>
        <w:ind w:firstLine="420" w:firstLineChars="200"/>
        <w:rPr>
          <w:rFonts w:ascii="宋体" w:hAnsi="宋体" w:cs="宋体"/>
          <w:color w:val="auto"/>
          <w:sz w:val="21"/>
          <w:szCs w:val="21"/>
          <w:u w:val="single"/>
        </w:rPr>
      </w:pPr>
      <w:r>
        <w:rPr>
          <w:rFonts w:hint="eastAsia" w:ascii="宋体" w:hAnsi="宋体" w:cs="宋体"/>
          <w:color w:val="auto"/>
          <w:sz w:val="21"/>
          <w:szCs w:val="21"/>
        </w:rPr>
        <w:t>1.</w:t>
      </w:r>
      <w:r>
        <w:rPr>
          <w:rFonts w:hint="eastAsia" w:ascii="宋体" w:hAnsi="宋体" w:cs="宋体"/>
          <w:color w:val="auto"/>
          <w:sz w:val="21"/>
          <w:szCs w:val="21"/>
          <w:u w:val="single"/>
        </w:rPr>
        <w:t xml:space="preserve">（标的名称） </w:t>
      </w:r>
      <w:r>
        <w:rPr>
          <w:rFonts w:hint="eastAsia" w:ascii="宋体" w:hAnsi="宋体" w:cs="宋体"/>
          <w:color w:val="auto"/>
          <w:sz w:val="21"/>
          <w:szCs w:val="21"/>
        </w:rPr>
        <w:t>，属于（采购文件中明确的所属行业）；承建（承接）企业为</w:t>
      </w:r>
      <w:r>
        <w:rPr>
          <w:rFonts w:hint="eastAsia" w:ascii="宋体" w:hAnsi="宋体" w:cs="宋体"/>
          <w:color w:val="auto"/>
          <w:sz w:val="21"/>
          <w:szCs w:val="21"/>
          <w:u w:val="single"/>
        </w:rPr>
        <w:t>（企业名称）</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（中型企业、小型企业、微型企业）；</w:t>
      </w:r>
    </w:p>
    <w:p>
      <w:pPr>
        <w:adjustRightInd w:val="0"/>
        <w:snapToGrid w:val="0"/>
        <w:spacing w:line="520" w:lineRule="atLeast"/>
        <w:ind w:firstLine="420" w:firstLineChars="200"/>
        <w:rPr>
          <w:rFonts w:ascii="宋体" w:hAnsi="宋体" w:cs="宋体"/>
          <w:color w:val="auto"/>
          <w:sz w:val="21"/>
          <w:szCs w:val="21"/>
          <w:u w:val="single"/>
        </w:rPr>
      </w:pPr>
      <w:r>
        <w:rPr>
          <w:rFonts w:hint="eastAsia" w:ascii="宋体" w:hAnsi="宋体" w:cs="宋体"/>
          <w:color w:val="auto"/>
          <w:sz w:val="21"/>
          <w:szCs w:val="21"/>
        </w:rPr>
        <w:t>2.</w:t>
      </w:r>
      <w:r>
        <w:rPr>
          <w:rFonts w:hint="eastAsia" w:ascii="宋体" w:hAnsi="宋体" w:cs="宋体"/>
          <w:color w:val="auto"/>
          <w:sz w:val="21"/>
          <w:szCs w:val="21"/>
          <w:u w:val="single"/>
        </w:rPr>
        <w:t xml:space="preserve">（标的名称） </w:t>
      </w:r>
      <w:r>
        <w:rPr>
          <w:rFonts w:hint="eastAsia" w:ascii="宋体" w:hAnsi="宋体" w:cs="宋体"/>
          <w:color w:val="auto"/>
          <w:sz w:val="21"/>
          <w:szCs w:val="21"/>
        </w:rPr>
        <w:t>，属于（采购文件中明确的所属行业）；承建（承接）企业为</w:t>
      </w:r>
      <w:r>
        <w:rPr>
          <w:rFonts w:hint="eastAsia" w:ascii="宋体" w:hAnsi="宋体" w:cs="宋体"/>
          <w:color w:val="auto"/>
          <w:sz w:val="21"/>
          <w:szCs w:val="21"/>
          <w:u w:val="single"/>
        </w:rPr>
        <w:t>（企业名称）</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（中型企业、小型企业、微型企业）；</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 xml:space="preserve">本企业对上述声明内容的真实性负责。如有虚假，将依法承担相应责任。 </w:t>
      </w:r>
    </w:p>
    <w:p>
      <w:pPr>
        <w:adjustRightInd w:val="0"/>
        <w:snapToGrid w:val="0"/>
        <w:spacing w:line="520" w:lineRule="atLeast"/>
        <w:ind w:firstLine="1680" w:firstLineChars="800"/>
        <w:rPr>
          <w:rFonts w:ascii="宋体" w:hAnsi="宋体" w:cs="宋体"/>
          <w:color w:val="auto"/>
          <w:sz w:val="21"/>
          <w:szCs w:val="21"/>
        </w:rPr>
      </w:pPr>
      <w:r>
        <w:rPr>
          <w:rFonts w:hint="eastAsia" w:ascii="宋体" w:hAnsi="宋体" w:cs="宋体"/>
          <w:color w:val="auto"/>
          <w:sz w:val="21"/>
          <w:szCs w:val="21"/>
        </w:rPr>
        <w:t xml:space="preserve">企业名称（盖章）： </w:t>
      </w:r>
    </w:p>
    <w:p>
      <w:pPr>
        <w:adjustRightInd w:val="0"/>
        <w:snapToGrid w:val="0"/>
        <w:spacing w:line="520" w:lineRule="atLeast"/>
        <w:ind w:firstLine="1680" w:firstLineChars="800"/>
        <w:rPr>
          <w:rFonts w:ascii="宋体" w:hAnsi="宋体" w:cs="宋体"/>
          <w:color w:val="auto"/>
          <w:sz w:val="21"/>
          <w:szCs w:val="21"/>
        </w:rPr>
      </w:pPr>
      <w:r>
        <w:rPr>
          <w:rFonts w:hint="eastAsia" w:ascii="宋体" w:hAnsi="宋体" w:cs="宋体"/>
          <w:color w:val="auto"/>
          <w:sz w:val="21"/>
          <w:szCs w:val="21"/>
        </w:rPr>
        <w:t xml:space="preserve">日 期： </w:t>
      </w:r>
    </w:p>
    <w:p>
      <w:pPr>
        <w:adjustRightInd w:val="0"/>
        <w:snapToGrid w:val="0"/>
        <w:spacing w:line="520" w:lineRule="atLeast"/>
        <w:rPr>
          <w:rFonts w:ascii="宋体" w:hAnsi="宋体" w:cs="宋体"/>
          <w:color w:val="auto"/>
          <w:sz w:val="21"/>
          <w:szCs w:val="21"/>
        </w:rPr>
      </w:pPr>
    </w:p>
    <w:p>
      <w:pPr>
        <w:adjustRightInd w:val="0"/>
        <w:snapToGrid w:val="0"/>
        <w:spacing w:line="520" w:lineRule="atLeast"/>
        <w:rPr>
          <w:rFonts w:ascii="宋体" w:hAnsi="宋体" w:cs="宋体"/>
          <w:color w:val="auto"/>
          <w:sz w:val="21"/>
          <w:szCs w:val="21"/>
        </w:rPr>
      </w:pPr>
      <w:r>
        <w:rPr>
          <w:rFonts w:hint="eastAsia" w:ascii="宋体" w:hAnsi="宋体" w:cs="宋体"/>
          <w:color w:val="auto"/>
          <w:sz w:val="21"/>
          <w:szCs w:val="21"/>
        </w:rPr>
        <w:t xml:space="preserve">注：从业人员、营业收入、资产总额填报上一年度数据，无上一年度数据的新成立企业可不填报。 </w:t>
      </w:r>
    </w:p>
    <w:p>
      <w:pPr>
        <w:jc w:val="center"/>
        <w:rPr>
          <w:rFonts w:ascii="宋体" w:hAnsi="宋体" w:cs="宋体"/>
          <w:b/>
          <w:color w:val="auto"/>
        </w:rPr>
      </w:pPr>
      <w:r>
        <w:rPr>
          <w:rFonts w:hint="eastAsia" w:ascii="宋体" w:hAnsi="宋体" w:cs="宋体"/>
          <w:color w:val="auto"/>
          <w:szCs w:val="28"/>
        </w:rPr>
        <w:br w:type="page"/>
      </w:r>
      <w:r>
        <w:rPr>
          <w:rFonts w:hint="eastAsia" w:ascii="宋体" w:hAnsi="宋体" w:cs="宋体"/>
          <w:color w:val="auto"/>
          <w:sz w:val="36"/>
          <w:szCs w:val="36"/>
        </w:rPr>
        <w:t>八、施工组织设计</w:t>
      </w:r>
      <w:bookmarkEnd w:id="378"/>
    </w:p>
    <w:p>
      <w:pPr>
        <w:spacing w:line="420" w:lineRule="exact"/>
        <w:ind w:firstLine="420" w:firstLineChars="200"/>
        <w:rPr>
          <w:rFonts w:ascii="宋体" w:hAnsi="宋体" w:cs="宋体"/>
          <w:color w:val="auto"/>
          <w:sz w:val="21"/>
          <w:szCs w:val="16"/>
        </w:rPr>
      </w:pPr>
      <w:r>
        <w:rPr>
          <w:rFonts w:hint="eastAsia" w:ascii="宋体" w:hAnsi="宋体" w:cs="宋体"/>
          <w:color w:val="auto"/>
          <w:sz w:val="21"/>
          <w:szCs w:val="16"/>
        </w:rPr>
        <w:t>1．供应商应根据竞争性磋商文件和对现场的勘察情况，采用文字并结合图表形式编制本工程的施工组织设计；</w:t>
      </w:r>
    </w:p>
    <w:p>
      <w:pPr>
        <w:spacing w:line="420" w:lineRule="exact"/>
        <w:ind w:firstLine="420" w:firstLineChars="200"/>
        <w:rPr>
          <w:rFonts w:ascii="宋体" w:hAnsi="宋体" w:cs="宋体"/>
          <w:color w:val="auto"/>
          <w:sz w:val="21"/>
          <w:szCs w:val="21"/>
        </w:rPr>
      </w:pPr>
      <w:r>
        <w:rPr>
          <w:rFonts w:hint="eastAsia" w:ascii="宋体" w:hAnsi="宋体" w:cs="宋体"/>
          <w:color w:val="auto"/>
          <w:sz w:val="21"/>
          <w:szCs w:val="21"/>
        </w:rPr>
        <w:t>2．施工组织设计除采用文字表述外可附下列图表，图表及格式要求附后。</w:t>
      </w: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 xml:space="preserve">附表一  </w:t>
      </w:r>
      <w:r>
        <w:rPr>
          <w:rFonts w:hint="eastAsia" w:ascii="宋体" w:hAnsi="宋体" w:cs="宋体"/>
          <w:bCs/>
          <w:color w:val="auto"/>
          <w:sz w:val="24"/>
          <w:szCs w:val="24"/>
        </w:rPr>
        <w:t>拟投入本工程的主要施工设备表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33"/>
        <w:gridCol w:w="778"/>
        <w:gridCol w:w="1185"/>
        <w:gridCol w:w="821"/>
        <w:gridCol w:w="822"/>
        <w:gridCol w:w="1362"/>
        <w:gridCol w:w="1010"/>
        <w:gridCol w:w="101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6"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1233"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设备名称</w:t>
            </w:r>
          </w:p>
        </w:tc>
        <w:tc>
          <w:tcPr>
            <w:tcW w:w="77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型号</w:t>
            </w:r>
          </w:p>
          <w:p>
            <w:pPr>
              <w:spacing w:line="360" w:lineRule="auto"/>
              <w:jc w:val="center"/>
              <w:rPr>
                <w:rFonts w:ascii="宋体" w:hAnsi="宋体" w:cs="宋体"/>
                <w:color w:val="auto"/>
                <w:sz w:val="21"/>
                <w:szCs w:val="21"/>
              </w:rPr>
            </w:pPr>
            <w:r>
              <w:rPr>
                <w:rFonts w:hint="eastAsia" w:ascii="宋体" w:hAnsi="宋体" w:cs="宋体"/>
                <w:color w:val="auto"/>
                <w:sz w:val="21"/>
                <w:szCs w:val="21"/>
              </w:rPr>
              <w:t>规格</w:t>
            </w:r>
          </w:p>
        </w:tc>
        <w:tc>
          <w:tcPr>
            <w:tcW w:w="118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数  量</w:t>
            </w:r>
          </w:p>
        </w:tc>
        <w:tc>
          <w:tcPr>
            <w:tcW w:w="82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国别</w:t>
            </w:r>
          </w:p>
          <w:p>
            <w:pPr>
              <w:spacing w:line="360" w:lineRule="auto"/>
              <w:jc w:val="center"/>
              <w:rPr>
                <w:rFonts w:ascii="宋体" w:hAnsi="宋体" w:cs="宋体"/>
                <w:color w:val="auto"/>
                <w:sz w:val="21"/>
                <w:szCs w:val="21"/>
              </w:rPr>
            </w:pPr>
            <w:r>
              <w:rPr>
                <w:rFonts w:hint="eastAsia" w:ascii="宋体" w:hAnsi="宋体" w:cs="宋体"/>
                <w:color w:val="auto"/>
                <w:sz w:val="21"/>
                <w:szCs w:val="21"/>
              </w:rPr>
              <w:t>产地</w:t>
            </w:r>
          </w:p>
        </w:tc>
        <w:tc>
          <w:tcPr>
            <w:tcW w:w="82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制造</w:t>
            </w:r>
          </w:p>
          <w:p>
            <w:pPr>
              <w:spacing w:line="360" w:lineRule="auto"/>
              <w:jc w:val="center"/>
              <w:rPr>
                <w:rFonts w:ascii="宋体" w:hAnsi="宋体" w:cs="宋体"/>
                <w:color w:val="auto"/>
                <w:sz w:val="21"/>
                <w:szCs w:val="21"/>
              </w:rPr>
            </w:pPr>
            <w:r>
              <w:rPr>
                <w:rFonts w:hint="eastAsia" w:ascii="宋体" w:hAnsi="宋体" w:cs="宋体"/>
                <w:color w:val="auto"/>
                <w:sz w:val="21"/>
                <w:szCs w:val="21"/>
              </w:rPr>
              <w:t>年份</w:t>
            </w:r>
          </w:p>
        </w:tc>
        <w:tc>
          <w:tcPr>
            <w:tcW w:w="136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额定功率</w:t>
            </w:r>
          </w:p>
          <w:p>
            <w:pPr>
              <w:spacing w:line="360" w:lineRule="auto"/>
              <w:jc w:val="center"/>
              <w:rPr>
                <w:rFonts w:ascii="宋体" w:hAnsi="宋体" w:cs="宋体"/>
                <w:color w:val="auto"/>
                <w:sz w:val="21"/>
                <w:szCs w:val="21"/>
              </w:rPr>
            </w:pPr>
            <w:r>
              <w:rPr>
                <w:rFonts w:hint="eastAsia" w:ascii="宋体" w:hAnsi="宋体" w:cs="宋体"/>
                <w:color w:val="auto"/>
                <w:sz w:val="21"/>
                <w:szCs w:val="21"/>
              </w:rPr>
              <w:t>（KW）</w:t>
            </w:r>
          </w:p>
        </w:tc>
        <w:tc>
          <w:tcPr>
            <w:tcW w:w="1010"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生产</w:t>
            </w:r>
          </w:p>
          <w:p>
            <w:pPr>
              <w:spacing w:line="360" w:lineRule="auto"/>
              <w:jc w:val="center"/>
              <w:rPr>
                <w:rFonts w:ascii="宋体" w:hAnsi="宋体" w:cs="宋体"/>
                <w:color w:val="auto"/>
                <w:sz w:val="21"/>
                <w:szCs w:val="21"/>
              </w:rPr>
            </w:pPr>
            <w:r>
              <w:rPr>
                <w:rFonts w:hint="eastAsia" w:ascii="宋体" w:hAnsi="宋体" w:cs="宋体"/>
                <w:color w:val="auto"/>
                <w:sz w:val="21"/>
                <w:szCs w:val="21"/>
              </w:rPr>
              <w:t>能力</w:t>
            </w:r>
          </w:p>
        </w:tc>
        <w:tc>
          <w:tcPr>
            <w:tcW w:w="101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用于施</w:t>
            </w:r>
          </w:p>
          <w:p>
            <w:pPr>
              <w:spacing w:line="360" w:lineRule="auto"/>
              <w:jc w:val="center"/>
              <w:rPr>
                <w:rFonts w:ascii="宋体" w:hAnsi="宋体" w:cs="宋体"/>
                <w:color w:val="auto"/>
                <w:sz w:val="21"/>
                <w:szCs w:val="21"/>
              </w:rPr>
            </w:pPr>
            <w:r>
              <w:rPr>
                <w:rFonts w:hint="eastAsia" w:ascii="宋体" w:hAnsi="宋体" w:cs="宋体"/>
                <w:color w:val="auto"/>
                <w:sz w:val="21"/>
                <w:szCs w:val="21"/>
              </w:rPr>
              <w:t>工部位</w:t>
            </w:r>
          </w:p>
        </w:tc>
        <w:tc>
          <w:tcPr>
            <w:tcW w:w="886"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bl>
    <w:p>
      <w:pPr>
        <w:spacing w:line="312" w:lineRule="auto"/>
        <w:rPr>
          <w:rFonts w:ascii="宋体" w:hAnsi="宋体" w:cs="宋体"/>
          <w:color w:val="auto"/>
          <w:szCs w:val="21"/>
        </w:rPr>
      </w:pP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附表二  拟配备本工程的试验和检测仪器设备表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33"/>
        <w:gridCol w:w="778"/>
        <w:gridCol w:w="1185"/>
        <w:gridCol w:w="821"/>
        <w:gridCol w:w="822"/>
        <w:gridCol w:w="1362"/>
        <w:gridCol w:w="192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6"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1233"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仪器设备</w:t>
            </w:r>
          </w:p>
          <w:p>
            <w:pPr>
              <w:spacing w:line="360" w:lineRule="auto"/>
              <w:jc w:val="center"/>
              <w:rPr>
                <w:rFonts w:ascii="宋体" w:hAnsi="宋体" w:cs="宋体"/>
                <w:color w:val="auto"/>
                <w:sz w:val="21"/>
                <w:szCs w:val="21"/>
              </w:rPr>
            </w:pPr>
            <w:r>
              <w:rPr>
                <w:rFonts w:hint="eastAsia" w:ascii="宋体" w:hAnsi="宋体" w:cs="宋体"/>
                <w:color w:val="auto"/>
                <w:sz w:val="21"/>
                <w:szCs w:val="21"/>
              </w:rPr>
              <w:t>名    称</w:t>
            </w:r>
          </w:p>
        </w:tc>
        <w:tc>
          <w:tcPr>
            <w:tcW w:w="77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型号</w:t>
            </w:r>
          </w:p>
          <w:p>
            <w:pPr>
              <w:spacing w:line="360" w:lineRule="auto"/>
              <w:jc w:val="center"/>
              <w:rPr>
                <w:rFonts w:ascii="宋体" w:hAnsi="宋体" w:cs="宋体"/>
                <w:color w:val="auto"/>
                <w:sz w:val="21"/>
                <w:szCs w:val="21"/>
              </w:rPr>
            </w:pPr>
            <w:r>
              <w:rPr>
                <w:rFonts w:hint="eastAsia" w:ascii="宋体" w:hAnsi="宋体" w:cs="宋体"/>
                <w:color w:val="auto"/>
                <w:sz w:val="21"/>
                <w:szCs w:val="21"/>
              </w:rPr>
              <w:t>规格</w:t>
            </w:r>
          </w:p>
        </w:tc>
        <w:tc>
          <w:tcPr>
            <w:tcW w:w="118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数  量</w:t>
            </w:r>
          </w:p>
        </w:tc>
        <w:tc>
          <w:tcPr>
            <w:tcW w:w="82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国别</w:t>
            </w:r>
          </w:p>
          <w:p>
            <w:pPr>
              <w:spacing w:line="360" w:lineRule="auto"/>
              <w:jc w:val="center"/>
              <w:rPr>
                <w:rFonts w:ascii="宋体" w:hAnsi="宋体" w:cs="宋体"/>
                <w:color w:val="auto"/>
                <w:sz w:val="21"/>
                <w:szCs w:val="21"/>
              </w:rPr>
            </w:pPr>
            <w:r>
              <w:rPr>
                <w:rFonts w:hint="eastAsia" w:ascii="宋体" w:hAnsi="宋体" w:cs="宋体"/>
                <w:color w:val="auto"/>
                <w:sz w:val="21"/>
                <w:szCs w:val="21"/>
              </w:rPr>
              <w:t>产地</w:t>
            </w:r>
          </w:p>
        </w:tc>
        <w:tc>
          <w:tcPr>
            <w:tcW w:w="82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制造</w:t>
            </w:r>
          </w:p>
          <w:p>
            <w:pPr>
              <w:spacing w:line="360" w:lineRule="auto"/>
              <w:jc w:val="center"/>
              <w:rPr>
                <w:rFonts w:ascii="宋体" w:hAnsi="宋体" w:cs="宋体"/>
                <w:color w:val="auto"/>
                <w:sz w:val="21"/>
                <w:szCs w:val="21"/>
              </w:rPr>
            </w:pPr>
            <w:r>
              <w:rPr>
                <w:rFonts w:hint="eastAsia" w:ascii="宋体" w:hAnsi="宋体" w:cs="宋体"/>
                <w:color w:val="auto"/>
                <w:sz w:val="21"/>
                <w:szCs w:val="21"/>
              </w:rPr>
              <w:t>年份</w:t>
            </w:r>
          </w:p>
        </w:tc>
        <w:tc>
          <w:tcPr>
            <w:tcW w:w="136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已使用台</w:t>
            </w:r>
          </w:p>
          <w:p>
            <w:pPr>
              <w:spacing w:line="360" w:lineRule="auto"/>
              <w:jc w:val="center"/>
              <w:rPr>
                <w:rFonts w:ascii="宋体" w:hAnsi="宋体" w:cs="宋体"/>
                <w:color w:val="auto"/>
                <w:sz w:val="21"/>
                <w:szCs w:val="21"/>
              </w:rPr>
            </w:pPr>
            <w:r>
              <w:rPr>
                <w:rFonts w:hint="eastAsia" w:ascii="宋体" w:hAnsi="宋体" w:cs="宋体"/>
                <w:color w:val="auto"/>
                <w:sz w:val="21"/>
                <w:szCs w:val="21"/>
              </w:rPr>
              <w:t>时    数</w:t>
            </w:r>
          </w:p>
        </w:tc>
        <w:tc>
          <w:tcPr>
            <w:tcW w:w="192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用  途</w:t>
            </w:r>
          </w:p>
        </w:tc>
        <w:tc>
          <w:tcPr>
            <w:tcW w:w="98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bl>
    <w:p>
      <w:pPr>
        <w:spacing w:line="312" w:lineRule="auto"/>
        <w:rPr>
          <w:rFonts w:ascii="宋体" w:hAnsi="宋体" w:cs="宋体"/>
          <w:color w:val="auto"/>
          <w:szCs w:val="21"/>
        </w:rPr>
      </w:pP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 xml:space="preserve">附表三  </w:t>
      </w:r>
      <w:r>
        <w:rPr>
          <w:rFonts w:hint="eastAsia" w:ascii="宋体" w:hAnsi="宋体" w:cs="宋体"/>
          <w:bCs/>
          <w:color w:val="auto"/>
          <w:sz w:val="24"/>
          <w:szCs w:val="24"/>
        </w:rPr>
        <w:t>劳动力计划表</w:t>
      </w:r>
    </w:p>
    <w:p>
      <w:pPr>
        <w:wordWrap w:val="0"/>
        <w:spacing w:line="360" w:lineRule="auto"/>
        <w:jc w:val="right"/>
        <w:rPr>
          <w:rFonts w:ascii="宋体" w:hAnsi="宋体" w:cs="宋体"/>
          <w:color w:val="auto"/>
          <w:sz w:val="21"/>
          <w:szCs w:val="21"/>
        </w:rPr>
      </w:pPr>
      <w:r>
        <w:rPr>
          <w:rFonts w:hint="eastAsia" w:ascii="宋体" w:hAnsi="宋体" w:cs="宋体"/>
          <w:color w:val="auto"/>
          <w:sz w:val="21"/>
          <w:szCs w:val="21"/>
        </w:rPr>
        <w:t xml:space="preserve">  单位：人</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643"/>
        <w:gridCol w:w="1232"/>
        <w:gridCol w:w="1231"/>
        <w:gridCol w:w="1232"/>
        <w:gridCol w:w="1231"/>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工种</w:t>
            </w:r>
          </w:p>
        </w:tc>
        <w:tc>
          <w:tcPr>
            <w:tcW w:w="9033" w:type="dxa"/>
            <w:gridSpan w:val="7"/>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 w:val="21"/>
                <w:szCs w:val="21"/>
              </w:rPr>
            </w:pPr>
          </w:p>
        </w:tc>
        <w:tc>
          <w:tcPr>
            <w:tcW w:w="1643"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c>
          <w:tcPr>
            <w:tcW w:w="1231"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c>
          <w:tcPr>
            <w:tcW w:w="1231"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bl>
    <w:p>
      <w:pPr>
        <w:spacing w:line="312" w:lineRule="auto"/>
        <w:rPr>
          <w:rFonts w:ascii="宋体" w:hAnsi="宋体" w:cs="宋体"/>
          <w:color w:val="auto"/>
          <w:szCs w:val="21"/>
        </w:rPr>
      </w:pP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 xml:space="preserve">附表四  </w:t>
      </w:r>
      <w:r>
        <w:rPr>
          <w:rFonts w:hint="eastAsia" w:ascii="宋体" w:hAnsi="宋体" w:cs="宋体"/>
          <w:bCs/>
          <w:color w:val="auto"/>
          <w:sz w:val="24"/>
          <w:szCs w:val="24"/>
        </w:rPr>
        <w:t>临时用地表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408"/>
        <w:gridCol w:w="24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用  途</w:t>
            </w:r>
          </w:p>
        </w:tc>
        <w:tc>
          <w:tcPr>
            <w:tcW w:w="240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面 积（平方米）</w:t>
            </w:r>
          </w:p>
        </w:tc>
        <w:tc>
          <w:tcPr>
            <w:tcW w:w="2409"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位  置</w:t>
            </w:r>
          </w:p>
        </w:tc>
        <w:tc>
          <w:tcPr>
            <w:tcW w:w="2409"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bl>
    <w:p>
      <w:pPr>
        <w:spacing w:line="312" w:lineRule="auto"/>
        <w:rPr>
          <w:rFonts w:ascii="宋体" w:hAnsi="宋体" w:cs="宋体"/>
          <w:bCs/>
          <w:color w:val="auto"/>
        </w:rPr>
      </w:pPr>
    </w:p>
    <w:p>
      <w:pPr>
        <w:rPr>
          <w:rFonts w:ascii="宋体" w:hAnsi="宋体" w:cs="宋体"/>
          <w:color w:val="auto"/>
        </w:rPr>
      </w:pPr>
    </w:p>
    <w:bookmarkEnd w:id="379"/>
    <w:p>
      <w:pPr>
        <w:autoSpaceDE w:val="0"/>
        <w:autoSpaceDN w:val="0"/>
        <w:adjustRightInd w:val="0"/>
        <w:spacing w:line="400" w:lineRule="exact"/>
        <w:jc w:val="center"/>
        <w:rPr>
          <w:rFonts w:hint="eastAsia" w:ascii="宋体" w:hAnsi="宋体" w:cs="宋体"/>
          <w:color w:val="auto"/>
          <w:sz w:val="36"/>
          <w:szCs w:val="36"/>
        </w:rPr>
      </w:pPr>
      <w:bookmarkStart w:id="457" w:name="_Toc514673645"/>
      <w:bookmarkStart w:id="458" w:name="_Toc458408972"/>
      <w:r>
        <w:rPr>
          <w:rFonts w:hint="eastAsia" w:ascii="宋体" w:hAnsi="宋体" w:cs="宋体"/>
          <w:b/>
          <w:bCs/>
          <w:color w:val="auto"/>
          <w:sz w:val="32"/>
          <w:szCs w:val="32"/>
        </w:rPr>
        <w:br w:type="page"/>
      </w:r>
      <w:r>
        <w:rPr>
          <w:rFonts w:hint="eastAsia" w:ascii="宋体" w:hAnsi="宋体" w:cs="宋体"/>
          <w:color w:val="auto"/>
          <w:sz w:val="36"/>
          <w:szCs w:val="36"/>
        </w:rPr>
        <w:t>九、其他材料</w:t>
      </w:r>
      <w:bookmarkEnd w:id="457"/>
      <w:bookmarkEnd w:id="458"/>
    </w:p>
    <w:p>
      <w:pPr>
        <w:rPr>
          <w:rFonts w:hint="eastAsia" w:ascii="宋体" w:hAnsi="宋体" w:cs="宋体"/>
          <w:color w:val="auto"/>
          <w:sz w:val="36"/>
          <w:szCs w:val="36"/>
        </w:rPr>
      </w:pPr>
      <w:r>
        <w:rPr>
          <w:rFonts w:hint="eastAsia" w:ascii="宋体" w:hAnsi="宋体" w:cs="宋体"/>
          <w:color w:val="auto"/>
          <w:sz w:val="36"/>
          <w:szCs w:val="36"/>
        </w:rPr>
        <w:br w:type="page"/>
      </w:r>
    </w:p>
    <w:p>
      <w:pPr>
        <w:spacing w:line="360" w:lineRule="auto"/>
        <w:jc w:val="center"/>
        <w:rPr>
          <w:rFonts w:hint="eastAsia" w:ascii="宋体" w:hAnsi="宋体" w:cs="宋体"/>
          <w:b/>
          <w:bCs/>
          <w:color w:val="auto"/>
          <w:sz w:val="24"/>
          <w:szCs w:val="24"/>
        </w:rPr>
      </w:pPr>
      <w:r>
        <w:rPr>
          <w:rFonts w:hint="eastAsia" w:ascii="宋体" w:hAnsi="宋体" w:cs="宋体"/>
          <w:b/>
          <w:bCs/>
          <w:color w:val="auto"/>
          <w:sz w:val="28"/>
          <w:szCs w:val="28"/>
        </w:rPr>
        <w:t>工程主材选材表</w:t>
      </w:r>
    </w:p>
    <w:tbl>
      <w:tblPr>
        <w:tblStyle w:val="5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08"/>
        <w:gridCol w:w="199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类别</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材料名称</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cs="宋体"/>
                <w:color w:val="auto"/>
                <w:sz w:val="21"/>
                <w:szCs w:val="21"/>
              </w:rPr>
              <w:t>选用品牌名称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bl>
    <w:p>
      <w:pPr>
        <w:pStyle w:val="8"/>
        <w:spacing w:line="312" w:lineRule="auto"/>
        <w:jc w:val="right"/>
        <w:rPr>
          <w:rFonts w:hint="eastAsia" w:ascii="宋体" w:hAnsi="宋体" w:cs="宋体"/>
          <w:color w:val="auto"/>
          <w:sz w:val="21"/>
          <w:szCs w:val="21"/>
        </w:rPr>
      </w:pPr>
    </w:p>
    <w:p>
      <w:pPr>
        <w:pStyle w:val="8"/>
        <w:spacing w:line="312" w:lineRule="auto"/>
        <w:jc w:val="right"/>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color w:val="auto"/>
          <w:sz w:val="21"/>
          <w:szCs w:val="21"/>
          <w:u w:val="single"/>
        </w:rPr>
        <w:t xml:space="preserve">                        （盖公章）</w:t>
      </w:r>
    </w:p>
    <w:p>
      <w:pPr>
        <w:pStyle w:val="8"/>
        <w:spacing w:line="312" w:lineRule="auto"/>
        <w:jc w:val="right"/>
        <w:rPr>
          <w:rFonts w:ascii="宋体" w:hAnsi="宋体" w:cs="宋体"/>
          <w:color w:val="auto"/>
          <w:sz w:val="28"/>
          <w:szCs w:val="28"/>
        </w:rPr>
      </w:pPr>
      <w:r>
        <w:rPr>
          <w:rFonts w:hint="eastAsia" w:ascii="宋体" w:hAnsi="宋体" w:cs="宋体"/>
          <w:color w:val="auto"/>
          <w:sz w:val="21"/>
          <w:szCs w:val="21"/>
        </w:rPr>
        <w:t>年   月   日</w:t>
      </w:r>
    </w:p>
    <w:p>
      <w:pPr>
        <w:rPr>
          <w:color w:val="auto"/>
        </w:rPr>
        <w:sectPr>
          <w:pgSz w:w="11906" w:h="16838"/>
          <w:pgMar w:top="1013" w:right="1134" w:bottom="1213" w:left="1134" w:header="851" w:footer="992" w:gutter="0"/>
          <w:cols w:space="720" w:num="1"/>
          <w:docGrid w:type="lines" w:linePitch="312" w:charSpace="0"/>
        </w:sectPr>
      </w:pPr>
    </w:p>
    <w:p>
      <w:pPr>
        <w:numPr>
          <w:ilvl w:val="0"/>
          <w:numId w:val="11"/>
        </w:numPr>
        <w:spacing w:before="120" w:beforeLines="50" w:after="120" w:afterLines="50"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其他资料（供应商根据对项目的理解还需提供用于磋商小组评分的其他佐证材料（格式无固定要求）），请自行设计在响应文件中。</w:t>
      </w:r>
    </w:p>
    <w:p>
      <w:pPr>
        <w:numPr>
          <w:ilvl w:val="0"/>
          <w:numId w:val="11"/>
        </w:numPr>
        <w:spacing w:before="120" w:beforeLines="50" w:after="120" w:afterLines="50" w:line="312" w:lineRule="auto"/>
        <w:ind w:firstLine="420" w:firstLineChars="200"/>
        <w:jc w:val="left"/>
        <w:rPr>
          <w:rFonts w:ascii="宋体" w:hAnsi="宋体" w:cs="宋体"/>
          <w:color w:val="auto"/>
          <w:sz w:val="21"/>
          <w:szCs w:val="21"/>
        </w:rPr>
      </w:pPr>
      <w:bookmarkStart w:id="459" w:name="_Toc18935"/>
      <w:r>
        <w:rPr>
          <w:rFonts w:hint="eastAsia" w:ascii="宋体" w:hAnsi="宋体" w:cs="宋体"/>
          <w:color w:val="auto"/>
          <w:sz w:val="21"/>
          <w:szCs w:val="21"/>
        </w:rPr>
        <w:t>评审索引</w:t>
      </w:r>
      <w:bookmarkEnd w:id="459"/>
      <w:r>
        <w:rPr>
          <w:rFonts w:hint="eastAsia" w:ascii="宋体" w:hAnsi="宋体" w:cs="宋体"/>
          <w:b/>
          <w:bCs/>
          <w:color w:val="auto"/>
          <w:sz w:val="21"/>
          <w:szCs w:val="21"/>
        </w:rPr>
        <w:t>（建议标明索引）</w:t>
      </w:r>
    </w:p>
    <w:p>
      <w:pPr>
        <w:spacing w:before="120" w:beforeLines="50" w:after="12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关于竞争性磋商文件 第三章  评审方法 </w:t>
      </w:r>
      <w:r>
        <w:rPr>
          <w:rFonts w:hint="eastAsia" w:ascii="宋体" w:hAnsi="宋体" w:cs="宋体"/>
          <w:color w:val="auto"/>
          <w:sz w:val="21"/>
          <w:szCs w:val="21"/>
          <w:lang w:val="zh-CN"/>
        </w:rPr>
        <w:t>评审方法前附表（</w:t>
      </w:r>
      <w:r>
        <w:rPr>
          <w:rFonts w:hint="eastAsia" w:ascii="宋体" w:hAnsi="宋体" w:cs="宋体"/>
          <w:color w:val="auto"/>
          <w:sz w:val="21"/>
          <w:szCs w:val="21"/>
        </w:rPr>
        <w:t>一</w:t>
      </w:r>
      <w:r>
        <w:rPr>
          <w:rFonts w:hint="eastAsia" w:ascii="宋体" w:hAnsi="宋体" w:cs="宋体"/>
          <w:color w:val="auto"/>
          <w:sz w:val="21"/>
          <w:szCs w:val="21"/>
          <w:lang w:val="zh-CN"/>
        </w:rPr>
        <w:t>）、评审方法前附表（</w:t>
      </w:r>
      <w:r>
        <w:rPr>
          <w:rFonts w:hint="eastAsia" w:ascii="宋体" w:hAnsi="宋体" w:cs="宋体"/>
          <w:color w:val="auto"/>
          <w:sz w:val="21"/>
          <w:szCs w:val="21"/>
        </w:rPr>
        <w:t>二</w:t>
      </w:r>
      <w:r>
        <w:rPr>
          <w:rFonts w:hint="eastAsia" w:ascii="宋体" w:hAnsi="宋体" w:cs="宋体"/>
          <w:color w:val="auto"/>
          <w:sz w:val="21"/>
          <w:szCs w:val="21"/>
          <w:lang w:val="zh-CN"/>
        </w:rPr>
        <w:t>）</w:t>
      </w:r>
      <w:r>
        <w:rPr>
          <w:rFonts w:hint="eastAsia" w:ascii="宋体" w:hAnsi="宋体" w:cs="宋体"/>
          <w:color w:val="auto"/>
          <w:sz w:val="21"/>
          <w:szCs w:val="21"/>
        </w:rPr>
        <w:t>的评审索引，标注清楚响应文件内响应相关评审因素、评审标准的对应页码。</w:t>
      </w:r>
    </w:p>
    <w:p>
      <w:pPr>
        <w:pStyle w:val="8"/>
        <w:spacing w:line="312" w:lineRule="auto"/>
        <w:jc w:val="right"/>
        <w:rPr>
          <w:rFonts w:ascii="宋体" w:hAnsi="宋体" w:cs="宋体"/>
          <w:color w:val="auto"/>
          <w:sz w:val="28"/>
          <w:szCs w:val="28"/>
        </w:rPr>
      </w:pPr>
    </w:p>
    <w:sectPr>
      <w:headerReference r:id="rId10" w:type="default"/>
      <w:footerReference r:id="rId11" w:type="default"/>
      <w:pgSz w:w="11907" w:h="16840"/>
      <w:pgMar w:top="1418" w:right="1418" w:bottom="1418" w:left="1418" w:header="851" w:footer="992"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pP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pOyW8QICAAASBAAADgAAAAAAAAABACAAAAAfAQAAZHJzL2Uyb0Rv&#10;Yy54bWxQSwUGAAAAAAYABgBZAQAAkwUAAAAA&#10;">
              <v:fill on="f" focussize="0,0"/>
              <v:stroke on="f"/>
              <v:imagedata o:title=""/>
              <o:lock v:ext="edit" aspectratio="f"/>
              <v:textbox inset="0mm,0mm,0mm,0mm" style="mso-fit-shape-to-text:t;">
                <w:txbxContent>
                  <w:p>
                    <w:pPr>
                      <w:pStyle w:val="3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ascii="宋体" w:hAnsi="宋体"/>
        <w:szCs w:val="18"/>
      </w:rPr>
    </w:pPr>
    <w:r>
      <w:rPr>
        <w:rFonts w:hint="eastAsia" w:ascii="宋体" w:hAnsi="宋体"/>
        <w:szCs w:val="1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pP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KvY0WwAAgAAEgQAAA4AAAAAAAAAAQAgAAAAHwEAAGRycy9lMm9Eb2Mu&#10;eG1sUEsFBgAAAAAGAAYAWQEAAJEFAAAAAA==&#10;">
              <v:fill on="f" focussize="0,0"/>
              <v:stroke on="f"/>
              <v:imagedata o:title=""/>
              <o:lock v:ext="edit" aspectratio="f"/>
              <v:textbox inset="0mm,0mm,0mm,0mm" style="mso-fit-shape-to-text:t;">
                <w:txbxContent>
                  <w:p>
                    <w:pPr>
                      <w:pStyle w:val="3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KHRpHsAAgAAEgQAAA4AAAAAAAAAAQAgAAAAHwEAAGRycy9lMm9Eb2Mu&#10;eG1sUEsFBgAAAAAGAAYAWQEAAJEFA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5FD7"/>
    <w:multiLevelType w:val="singleLevel"/>
    <w:tmpl w:val="84B95FD7"/>
    <w:lvl w:ilvl="0" w:tentative="0">
      <w:start w:val="1"/>
      <w:numFmt w:val="decimal"/>
      <w:suff w:val="nothing"/>
      <w:lvlText w:val="（%1）"/>
      <w:lvlJc w:val="left"/>
    </w:lvl>
  </w:abstractNum>
  <w:abstractNum w:abstractNumId="1">
    <w:nsid w:val="86CBDBDE"/>
    <w:multiLevelType w:val="singleLevel"/>
    <w:tmpl w:val="86CBDBDE"/>
    <w:lvl w:ilvl="0" w:tentative="0">
      <w:start w:val="1"/>
      <w:numFmt w:val="chineseCounting"/>
      <w:suff w:val="nothing"/>
      <w:lvlText w:val="（%1）"/>
      <w:lvlJc w:val="left"/>
      <w:rPr>
        <w:rFonts w:hint="eastAsia"/>
      </w:rPr>
    </w:lvl>
  </w:abstractNum>
  <w:abstractNum w:abstractNumId="2">
    <w:nsid w:val="91A42EE5"/>
    <w:multiLevelType w:val="singleLevel"/>
    <w:tmpl w:val="91A42EE5"/>
    <w:lvl w:ilvl="0" w:tentative="0">
      <w:start w:val="1"/>
      <w:numFmt w:val="chineseCounting"/>
      <w:suff w:val="nothing"/>
      <w:lvlText w:val="（%1）"/>
      <w:lvlJc w:val="left"/>
      <w:rPr>
        <w:rFonts w:hint="eastAsia"/>
      </w:rPr>
    </w:lvl>
  </w:abstractNum>
  <w:abstractNum w:abstractNumId="3">
    <w:nsid w:val="C8C98190"/>
    <w:multiLevelType w:val="singleLevel"/>
    <w:tmpl w:val="C8C98190"/>
    <w:lvl w:ilvl="0" w:tentative="0">
      <w:start w:val="3"/>
      <w:numFmt w:val="decimal"/>
      <w:lvlText w:val="%1."/>
      <w:lvlJc w:val="left"/>
      <w:pPr>
        <w:tabs>
          <w:tab w:val="left" w:pos="312"/>
        </w:tabs>
      </w:pPr>
    </w:lvl>
  </w:abstractNum>
  <w:abstractNum w:abstractNumId="4">
    <w:nsid w:val="F65897D2"/>
    <w:multiLevelType w:val="singleLevel"/>
    <w:tmpl w:val="F65897D2"/>
    <w:lvl w:ilvl="0" w:tentative="0">
      <w:start w:val="3"/>
      <w:numFmt w:val="decimal"/>
      <w:lvlText w:val="%1."/>
      <w:lvlJc w:val="left"/>
      <w:pPr>
        <w:tabs>
          <w:tab w:val="left" w:pos="312"/>
        </w:tabs>
      </w:pPr>
    </w:lvl>
  </w:abstractNum>
  <w:abstractNum w:abstractNumId="5">
    <w:nsid w:val="F7DFF8FB"/>
    <w:multiLevelType w:val="singleLevel"/>
    <w:tmpl w:val="F7DFF8FB"/>
    <w:lvl w:ilvl="0" w:tentative="0">
      <w:start w:val="7"/>
      <w:numFmt w:val="chineseCounting"/>
      <w:suff w:val="nothing"/>
      <w:lvlText w:val="%1、"/>
      <w:lvlJc w:val="left"/>
      <w:rPr>
        <w:rFonts w:hint="eastAsia"/>
      </w:rPr>
    </w:lvl>
  </w:abstractNum>
  <w:abstractNum w:abstractNumId="6">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AC2089D"/>
    <w:multiLevelType w:val="singleLevel"/>
    <w:tmpl w:val="0AC2089D"/>
    <w:lvl w:ilvl="0" w:tentative="0">
      <w:start w:val="3"/>
      <w:numFmt w:val="chineseCounting"/>
      <w:suff w:val="nothing"/>
      <w:lvlText w:val="（%1）"/>
      <w:lvlJc w:val="left"/>
      <w:rPr>
        <w:rFonts w:hint="eastAsia"/>
      </w:rPr>
    </w:lvl>
  </w:abstractNum>
  <w:abstractNum w:abstractNumId="8">
    <w:nsid w:val="1F3B3AAB"/>
    <w:multiLevelType w:val="singleLevel"/>
    <w:tmpl w:val="1F3B3AAB"/>
    <w:lvl w:ilvl="0" w:tentative="0">
      <w:start w:val="1"/>
      <w:numFmt w:val="chineseCounting"/>
      <w:suff w:val="nothing"/>
      <w:lvlText w:val="（%1）"/>
      <w:lvlJc w:val="left"/>
      <w:rPr>
        <w:rFonts w:hint="eastAsia"/>
      </w:rPr>
    </w:lvl>
  </w:abstractNum>
  <w:abstractNum w:abstractNumId="9">
    <w:nsid w:val="46A8DE3B"/>
    <w:multiLevelType w:val="singleLevel"/>
    <w:tmpl w:val="46A8DE3B"/>
    <w:lvl w:ilvl="0" w:tentative="0">
      <w:start w:val="1"/>
      <w:numFmt w:val="chineseCounting"/>
      <w:suff w:val="nothing"/>
      <w:lvlText w:val="（%1）"/>
      <w:lvlJc w:val="left"/>
      <w:rPr>
        <w:rFonts w:hint="eastAsia"/>
      </w:rPr>
    </w:lvl>
  </w:abstractNum>
  <w:abstractNum w:abstractNumId="10">
    <w:nsid w:val="72917284"/>
    <w:multiLevelType w:val="singleLevel"/>
    <w:tmpl w:val="72917284"/>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10"/>
  </w:num>
  <w:num w:numId="5">
    <w:abstractNumId w:val="1"/>
  </w:num>
  <w:num w:numId="6">
    <w:abstractNumId w:val="9"/>
  </w:num>
  <w:num w:numId="7">
    <w:abstractNumId w:val="8"/>
  </w:num>
  <w:num w:numId="8">
    <w:abstractNumId w:val="4"/>
  </w:num>
  <w:num w:numId="9">
    <w:abstractNumId w:val="6"/>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yMDQyZjFiYmI5ODgxNWRkMGFlMjZmZGIwNjNhMjkifQ=="/>
  </w:docVars>
  <w:rsids>
    <w:rsidRoot w:val="00172A27"/>
    <w:rsid w:val="00002E57"/>
    <w:rsid w:val="000035E7"/>
    <w:rsid w:val="00004761"/>
    <w:rsid w:val="00006DAB"/>
    <w:rsid w:val="000110DE"/>
    <w:rsid w:val="00012343"/>
    <w:rsid w:val="000130AA"/>
    <w:rsid w:val="00013D08"/>
    <w:rsid w:val="00015A82"/>
    <w:rsid w:val="00015EB4"/>
    <w:rsid w:val="000162AD"/>
    <w:rsid w:val="000164A6"/>
    <w:rsid w:val="00017595"/>
    <w:rsid w:val="000206D6"/>
    <w:rsid w:val="00020893"/>
    <w:rsid w:val="00020FDB"/>
    <w:rsid w:val="00023B91"/>
    <w:rsid w:val="00023F1B"/>
    <w:rsid w:val="0002409D"/>
    <w:rsid w:val="00025785"/>
    <w:rsid w:val="0002581F"/>
    <w:rsid w:val="00025BA6"/>
    <w:rsid w:val="0002667D"/>
    <w:rsid w:val="0002799D"/>
    <w:rsid w:val="00030F90"/>
    <w:rsid w:val="000310EE"/>
    <w:rsid w:val="0003158C"/>
    <w:rsid w:val="000324BB"/>
    <w:rsid w:val="00032D43"/>
    <w:rsid w:val="0003340C"/>
    <w:rsid w:val="00033434"/>
    <w:rsid w:val="0003420F"/>
    <w:rsid w:val="00034DD8"/>
    <w:rsid w:val="00034E28"/>
    <w:rsid w:val="00036BAC"/>
    <w:rsid w:val="00036EAA"/>
    <w:rsid w:val="00042F43"/>
    <w:rsid w:val="000439F7"/>
    <w:rsid w:val="00044471"/>
    <w:rsid w:val="00044794"/>
    <w:rsid w:val="00044F75"/>
    <w:rsid w:val="0004564D"/>
    <w:rsid w:val="0004597F"/>
    <w:rsid w:val="00045FD1"/>
    <w:rsid w:val="00046A00"/>
    <w:rsid w:val="00051D59"/>
    <w:rsid w:val="000521C3"/>
    <w:rsid w:val="000526A5"/>
    <w:rsid w:val="00052A00"/>
    <w:rsid w:val="00052CB0"/>
    <w:rsid w:val="000535B4"/>
    <w:rsid w:val="00053DBB"/>
    <w:rsid w:val="00054390"/>
    <w:rsid w:val="00054605"/>
    <w:rsid w:val="00054731"/>
    <w:rsid w:val="00054878"/>
    <w:rsid w:val="00054941"/>
    <w:rsid w:val="00054C31"/>
    <w:rsid w:val="00056B61"/>
    <w:rsid w:val="00056C56"/>
    <w:rsid w:val="000573BB"/>
    <w:rsid w:val="00062935"/>
    <w:rsid w:val="00062C59"/>
    <w:rsid w:val="000652EA"/>
    <w:rsid w:val="000655D4"/>
    <w:rsid w:val="00065AF4"/>
    <w:rsid w:val="000705E8"/>
    <w:rsid w:val="000716C8"/>
    <w:rsid w:val="00071B83"/>
    <w:rsid w:val="00072890"/>
    <w:rsid w:val="000744D2"/>
    <w:rsid w:val="00074B76"/>
    <w:rsid w:val="00075317"/>
    <w:rsid w:val="00076225"/>
    <w:rsid w:val="000835C0"/>
    <w:rsid w:val="00083CA2"/>
    <w:rsid w:val="0008628D"/>
    <w:rsid w:val="00086695"/>
    <w:rsid w:val="000873BC"/>
    <w:rsid w:val="0009202D"/>
    <w:rsid w:val="00093C2F"/>
    <w:rsid w:val="00094A8D"/>
    <w:rsid w:val="00094CF2"/>
    <w:rsid w:val="0009582C"/>
    <w:rsid w:val="00095C27"/>
    <w:rsid w:val="000969A5"/>
    <w:rsid w:val="000A1E3C"/>
    <w:rsid w:val="000A1EB9"/>
    <w:rsid w:val="000A1F93"/>
    <w:rsid w:val="000A58E3"/>
    <w:rsid w:val="000A6143"/>
    <w:rsid w:val="000A74C1"/>
    <w:rsid w:val="000A77D4"/>
    <w:rsid w:val="000A7F7B"/>
    <w:rsid w:val="000B0195"/>
    <w:rsid w:val="000B0C30"/>
    <w:rsid w:val="000B0F63"/>
    <w:rsid w:val="000B194B"/>
    <w:rsid w:val="000B1D97"/>
    <w:rsid w:val="000B26C6"/>
    <w:rsid w:val="000B37FF"/>
    <w:rsid w:val="000B4896"/>
    <w:rsid w:val="000B5D47"/>
    <w:rsid w:val="000B698D"/>
    <w:rsid w:val="000B7D20"/>
    <w:rsid w:val="000C125D"/>
    <w:rsid w:val="000C244B"/>
    <w:rsid w:val="000C2EB8"/>
    <w:rsid w:val="000C3801"/>
    <w:rsid w:val="000C3DEF"/>
    <w:rsid w:val="000C4064"/>
    <w:rsid w:val="000C5068"/>
    <w:rsid w:val="000C5767"/>
    <w:rsid w:val="000C7201"/>
    <w:rsid w:val="000D0517"/>
    <w:rsid w:val="000D1180"/>
    <w:rsid w:val="000D1FF9"/>
    <w:rsid w:val="000D2DFE"/>
    <w:rsid w:val="000D30A0"/>
    <w:rsid w:val="000D39F7"/>
    <w:rsid w:val="000D4E39"/>
    <w:rsid w:val="000D5DBB"/>
    <w:rsid w:val="000D60F2"/>
    <w:rsid w:val="000D6849"/>
    <w:rsid w:val="000D7344"/>
    <w:rsid w:val="000E1227"/>
    <w:rsid w:val="000E1E2D"/>
    <w:rsid w:val="000E1E66"/>
    <w:rsid w:val="000E2063"/>
    <w:rsid w:val="000E3533"/>
    <w:rsid w:val="000E39E1"/>
    <w:rsid w:val="000E591F"/>
    <w:rsid w:val="000E62A3"/>
    <w:rsid w:val="000E670C"/>
    <w:rsid w:val="000E6A4F"/>
    <w:rsid w:val="000E7298"/>
    <w:rsid w:val="000E75AA"/>
    <w:rsid w:val="000F03B5"/>
    <w:rsid w:val="000F18E6"/>
    <w:rsid w:val="000F1B66"/>
    <w:rsid w:val="000F206D"/>
    <w:rsid w:val="000F2476"/>
    <w:rsid w:val="000F24D7"/>
    <w:rsid w:val="000F3834"/>
    <w:rsid w:val="000F4DFE"/>
    <w:rsid w:val="000F4E8A"/>
    <w:rsid w:val="000F52AA"/>
    <w:rsid w:val="000F52D2"/>
    <w:rsid w:val="000F6191"/>
    <w:rsid w:val="000F686E"/>
    <w:rsid w:val="000F7307"/>
    <w:rsid w:val="00101BA2"/>
    <w:rsid w:val="001029FB"/>
    <w:rsid w:val="00104296"/>
    <w:rsid w:val="00104987"/>
    <w:rsid w:val="001055FB"/>
    <w:rsid w:val="001069C7"/>
    <w:rsid w:val="00107AE0"/>
    <w:rsid w:val="00107DC8"/>
    <w:rsid w:val="00110A96"/>
    <w:rsid w:val="00112AFA"/>
    <w:rsid w:val="00113ACD"/>
    <w:rsid w:val="00114B47"/>
    <w:rsid w:val="0011500C"/>
    <w:rsid w:val="00116406"/>
    <w:rsid w:val="00117259"/>
    <w:rsid w:val="00117296"/>
    <w:rsid w:val="0012060C"/>
    <w:rsid w:val="00120711"/>
    <w:rsid w:val="00120FF7"/>
    <w:rsid w:val="00121AEA"/>
    <w:rsid w:val="00122D0F"/>
    <w:rsid w:val="00122DBF"/>
    <w:rsid w:val="001246C0"/>
    <w:rsid w:val="00125ACA"/>
    <w:rsid w:val="001272C9"/>
    <w:rsid w:val="001277BF"/>
    <w:rsid w:val="00130DC5"/>
    <w:rsid w:val="00131DBE"/>
    <w:rsid w:val="00132A39"/>
    <w:rsid w:val="00133D75"/>
    <w:rsid w:val="0013404F"/>
    <w:rsid w:val="00134907"/>
    <w:rsid w:val="00135954"/>
    <w:rsid w:val="00136041"/>
    <w:rsid w:val="00136FFF"/>
    <w:rsid w:val="0013726D"/>
    <w:rsid w:val="00137BCF"/>
    <w:rsid w:val="00140BCB"/>
    <w:rsid w:val="00144A51"/>
    <w:rsid w:val="00144C1B"/>
    <w:rsid w:val="00144ECA"/>
    <w:rsid w:val="00145D8A"/>
    <w:rsid w:val="00147E27"/>
    <w:rsid w:val="00150DE8"/>
    <w:rsid w:val="00151A62"/>
    <w:rsid w:val="001522FB"/>
    <w:rsid w:val="00153712"/>
    <w:rsid w:val="0015458D"/>
    <w:rsid w:val="00155F85"/>
    <w:rsid w:val="00156BFA"/>
    <w:rsid w:val="00157CB9"/>
    <w:rsid w:val="00161265"/>
    <w:rsid w:val="00161C5C"/>
    <w:rsid w:val="00161D47"/>
    <w:rsid w:val="00162B36"/>
    <w:rsid w:val="00164427"/>
    <w:rsid w:val="00165814"/>
    <w:rsid w:val="00165E20"/>
    <w:rsid w:val="00167024"/>
    <w:rsid w:val="00167304"/>
    <w:rsid w:val="0016740A"/>
    <w:rsid w:val="0017065D"/>
    <w:rsid w:val="00170D5A"/>
    <w:rsid w:val="001720A0"/>
    <w:rsid w:val="00172A27"/>
    <w:rsid w:val="00173755"/>
    <w:rsid w:val="001741BC"/>
    <w:rsid w:val="0017471E"/>
    <w:rsid w:val="00175BE0"/>
    <w:rsid w:val="00181BB9"/>
    <w:rsid w:val="00182BE7"/>
    <w:rsid w:val="001834F2"/>
    <w:rsid w:val="00183F7E"/>
    <w:rsid w:val="001870B4"/>
    <w:rsid w:val="001878EE"/>
    <w:rsid w:val="00187D92"/>
    <w:rsid w:val="00192452"/>
    <w:rsid w:val="00192D35"/>
    <w:rsid w:val="00193BF4"/>
    <w:rsid w:val="001947A5"/>
    <w:rsid w:val="00195212"/>
    <w:rsid w:val="001968E7"/>
    <w:rsid w:val="001974D6"/>
    <w:rsid w:val="001A09BB"/>
    <w:rsid w:val="001A1E35"/>
    <w:rsid w:val="001A2251"/>
    <w:rsid w:val="001A2551"/>
    <w:rsid w:val="001A291E"/>
    <w:rsid w:val="001A3256"/>
    <w:rsid w:val="001A3A38"/>
    <w:rsid w:val="001A4397"/>
    <w:rsid w:val="001A4C92"/>
    <w:rsid w:val="001A7A51"/>
    <w:rsid w:val="001B26B3"/>
    <w:rsid w:val="001B3119"/>
    <w:rsid w:val="001B313E"/>
    <w:rsid w:val="001B3489"/>
    <w:rsid w:val="001B3751"/>
    <w:rsid w:val="001B5104"/>
    <w:rsid w:val="001B653C"/>
    <w:rsid w:val="001B65C0"/>
    <w:rsid w:val="001C02FB"/>
    <w:rsid w:val="001C2343"/>
    <w:rsid w:val="001C35DB"/>
    <w:rsid w:val="001C363B"/>
    <w:rsid w:val="001C55B1"/>
    <w:rsid w:val="001C5E96"/>
    <w:rsid w:val="001D098C"/>
    <w:rsid w:val="001D0F91"/>
    <w:rsid w:val="001D20E1"/>
    <w:rsid w:val="001D2CD1"/>
    <w:rsid w:val="001D4E44"/>
    <w:rsid w:val="001D55E8"/>
    <w:rsid w:val="001D62C5"/>
    <w:rsid w:val="001D7322"/>
    <w:rsid w:val="001E1281"/>
    <w:rsid w:val="001E1F24"/>
    <w:rsid w:val="001E22F2"/>
    <w:rsid w:val="001E31F4"/>
    <w:rsid w:val="001E5C20"/>
    <w:rsid w:val="001E63B8"/>
    <w:rsid w:val="001E6990"/>
    <w:rsid w:val="001E7C89"/>
    <w:rsid w:val="001E7F13"/>
    <w:rsid w:val="001F02D4"/>
    <w:rsid w:val="001F06DD"/>
    <w:rsid w:val="001F0D7A"/>
    <w:rsid w:val="001F19D3"/>
    <w:rsid w:val="001F2564"/>
    <w:rsid w:val="001F3E41"/>
    <w:rsid w:val="001F4DDF"/>
    <w:rsid w:val="001F5263"/>
    <w:rsid w:val="001F5D4A"/>
    <w:rsid w:val="00200168"/>
    <w:rsid w:val="002005C0"/>
    <w:rsid w:val="00202BD7"/>
    <w:rsid w:val="0020395E"/>
    <w:rsid w:val="00205045"/>
    <w:rsid w:val="00206417"/>
    <w:rsid w:val="00206F66"/>
    <w:rsid w:val="00210172"/>
    <w:rsid w:val="002115C6"/>
    <w:rsid w:val="002124BD"/>
    <w:rsid w:val="00213715"/>
    <w:rsid w:val="0021373E"/>
    <w:rsid w:val="00215244"/>
    <w:rsid w:val="00215949"/>
    <w:rsid w:val="00217130"/>
    <w:rsid w:val="00220D0A"/>
    <w:rsid w:val="00221AE3"/>
    <w:rsid w:val="00222A58"/>
    <w:rsid w:val="00227AD6"/>
    <w:rsid w:val="00227F5A"/>
    <w:rsid w:val="00231FEF"/>
    <w:rsid w:val="00232429"/>
    <w:rsid w:val="002357DA"/>
    <w:rsid w:val="00235995"/>
    <w:rsid w:val="00235F87"/>
    <w:rsid w:val="00236068"/>
    <w:rsid w:val="00236E8A"/>
    <w:rsid w:val="002403AD"/>
    <w:rsid w:val="00240C48"/>
    <w:rsid w:val="00240CB2"/>
    <w:rsid w:val="00242F3D"/>
    <w:rsid w:val="00245F2E"/>
    <w:rsid w:val="002469F3"/>
    <w:rsid w:val="0024733A"/>
    <w:rsid w:val="002510C6"/>
    <w:rsid w:val="002519AF"/>
    <w:rsid w:val="00253182"/>
    <w:rsid w:val="002531E9"/>
    <w:rsid w:val="00256B80"/>
    <w:rsid w:val="002571E8"/>
    <w:rsid w:val="002602A9"/>
    <w:rsid w:val="0026153A"/>
    <w:rsid w:val="00262F4E"/>
    <w:rsid w:val="002630F5"/>
    <w:rsid w:val="00263DED"/>
    <w:rsid w:val="00264395"/>
    <w:rsid w:val="002656D4"/>
    <w:rsid w:val="00265F6E"/>
    <w:rsid w:val="0026625A"/>
    <w:rsid w:val="0027172D"/>
    <w:rsid w:val="00273410"/>
    <w:rsid w:val="002736C1"/>
    <w:rsid w:val="00275256"/>
    <w:rsid w:val="0027687E"/>
    <w:rsid w:val="0027781B"/>
    <w:rsid w:val="0028062B"/>
    <w:rsid w:val="002812F5"/>
    <w:rsid w:val="0028139B"/>
    <w:rsid w:val="00283F2C"/>
    <w:rsid w:val="00284FD0"/>
    <w:rsid w:val="00286302"/>
    <w:rsid w:val="00286843"/>
    <w:rsid w:val="00286F50"/>
    <w:rsid w:val="00291005"/>
    <w:rsid w:val="00294725"/>
    <w:rsid w:val="00294EC1"/>
    <w:rsid w:val="00297682"/>
    <w:rsid w:val="002976E3"/>
    <w:rsid w:val="002A15A1"/>
    <w:rsid w:val="002A169B"/>
    <w:rsid w:val="002A2E44"/>
    <w:rsid w:val="002A3154"/>
    <w:rsid w:val="002A3621"/>
    <w:rsid w:val="002A3C0E"/>
    <w:rsid w:val="002A4751"/>
    <w:rsid w:val="002A6732"/>
    <w:rsid w:val="002B0B36"/>
    <w:rsid w:val="002B2752"/>
    <w:rsid w:val="002B4466"/>
    <w:rsid w:val="002B54F9"/>
    <w:rsid w:val="002B5A28"/>
    <w:rsid w:val="002B5B24"/>
    <w:rsid w:val="002B610E"/>
    <w:rsid w:val="002B6E67"/>
    <w:rsid w:val="002B71C6"/>
    <w:rsid w:val="002C0B0A"/>
    <w:rsid w:val="002C125A"/>
    <w:rsid w:val="002C1516"/>
    <w:rsid w:val="002C1BA5"/>
    <w:rsid w:val="002C2719"/>
    <w:rsid w:val="002C2B2D"/>
    <w:rsid w:val="002C4479"/>
    <w:rsid w:val="002C4AFF"/>
    <w:rsid w:val="002C4E77"/>
    <w:rsid w:val="002C5969"/>
    <w:rsid w:val="002C722E"/>
    <w:rsid w:val="002D0368"/>
    <w:rsid w:val="002D1253"/>
    <w:rsid w:val="002D2F85"/>
    <w:rsid w:val="002D3BC4"/>
    <w:rsid w:val="002D45E7"/>
    <w:rsid w:val="002D467F"/>
    <w:rsid w:val="002D4D84"/>
    <w:rsid w:val="002D696A"/>
    <w:rsid w:val="002D755D"/>
    <w:rsid w:val="002D7F58"/>
    <w:rsid w:val="002E01AC"/>
    <w:rsid w:val="002E1276"/>
    <w:rsid w:val="002E1A1A"/>
    <w:rsid w:val="002E25B3"/>
    <w:rsid w:val="002E27CD"/>
    <w:rsid w:val="002E335B"/>
    <w:rsid w:val="002E349C"/>
    <w:rsid w:val="002E3DDE"/>
    <w:rsid w:val="002E5ADD"/>
    <w:rsid w:val="002E65E8"/>
    <w:rsid w:val="002F13C7"/>
    <w:rsid w:val="002F2D53"/>
    <w:rsid w:val="002F6812"/>
    <w:rsid w:val="003010C4"/>
    <w:rsid w:val="00301FEA"/>
    <w:rsid w:val="003052A5"/>
    <w:rsid w:val="00306619"/>
    <w:rsid w:val="00310B8F"/>
    <w:rsid w:val="00311980"/>
    <w:rsid w:val="003146E7"/>
    <w:rsid w:val="00315B90"/>
    <w:rsid w:val="00315F21"/>
    <w:rsid w:val="00316BF8"/>
    <w:rsid w:val="003211E5"/>
    <w:rsid w:val="00321586"/>
    <w:rsid w:val="00323841"/>
    <w:rsid w:val="00325502"/>
    <w:rsid w:val="00325910"/>
    <w:rsid w:val="00326396"/>
    <w:rsid w:val="003264B2"/>
    <w:rsid w:val="00326847"/>
    <w:rsid w:val="003271C7"/>
    <w:rsid w:val="00330BA4"/>
    <w:rsid w:val="00333498"/>
    <w:rsid w:val="00333E84"/>
    <w:rsid w:val="0033438E"/>
    <w:rsid w:val="00335034"/>
    <w:rsid w:val="00336439"/>
    <w:rsid w:val="00336654"/>
    <w:rsid w:val="00336D80"/>
    <w:rsid w:val="00342A92"/>
    <w:rsid w:val="00343001"/>
    <w:rsid w:val="0034313D"/>
    <w:rsid w:val="00343E0D"/>
    <w:rsid w:val="00343ED9"/>
    <w:rsid w:val="00345449"/>
    <w:rsid w:val="00345A81"/>
    <w:rsid w:val="00347234"/>
    <w:rsid w:val="00347F29"/>
    <w:rsid w:val="00351350"/>
    <w:rsid w:val="003527B8"/>
    <w:rsid w:val="00352CF5"/>
    <w:rsid w:val="00354451"/>
    <w:rsid w:val="0035577D"/>
    <w:rsid w:val="003561CD"/>
    <w:rsid w:val="00356DAA"/>
    <w:rsid w:val="003576A8"/>
    <w:rsid w:val="00357F61"/>
    <w:rsid w:val="003634BA"/>
    <w:rsid w:val="003649BD"/>
    <w:rsid w:val="003658BA"/>
    <w:rsid w:val="003660FC"/>
    <w:rsid w:val="0036646A"/>
    <w:rsid w:val="003667C8"/>
    <w:rsid w:val="00367188"/>
    <w:rsid w:val="003725A2"/>
    <w:rsid w:val="00372FC7"/>
    <w:rsid w:val="0037316F"/>
    <w:rsid w:val="00374F41"/>
    <w:rsid w:val="00375DCB"/>
    <w:rsid w:val="00376134"/>
    <w:rsid w:val="003765B9"/>
    <w:rsid w:val="0037689B"/>
    <w:rsid w:val="0037778C"/>
    <w:rsid w:val="00380B32"/>
    <w:rsid w:val="00382E13"/>
    <w:rsid w:val="00382FCC"/>
    <w:rsid w:val="00391437"/>
    <w:rsid w:val="00394E24"/>
    <w:rsid w:val="00395FF7"/>
    <w:rsid w:val="003A1939"/>
    <w:rsid w:val="003A1BE0"/>
    <w:rsid w:val="003A3186"/>
    <w:rsid w:val="003A5924"/>
    <w:rsid w:val="003A6B35"/>
    <w:rsid w:val="003B0C68"/>
    <w:rsid w:val="003B7515"/>
    <w:rsid w:val="003B7AC7"/>
    <w:rsid w:val="003C221C"/>
    <w:rsid w:val="003C3751"/>
    <w:rsid w:val="003C4272"/>
    <w:rsid w:val="003C5765"/>
    <w:rsid w:val="003C6592"/>
    <w:rsid w:val="003C6963"/>
    <w:rsid w:val="003C6BD4"/>
    <w:rsid w:val="003D0415"/>
    <w:rsid w:val="003D1019"/>
    <w:rsid w:val="003D2D55"/>
    <w:rsid w:val="003D47B7"/>
    <w:rsid w:val="003D535E"/>
    <w:rsid w:val="003E0637"/>
    <w:rsid w:val="003E2FEE"/>
    <w:rsid w:val="003E3129"/>
    <w:rsid w:val="003E3A24"/>
    <w:rsid w:val="003E4DDD"/>
    <w:rsid w:val="003E58F2"/>
    <w:rsid w:val="003E63FF"/>
    <w:rsid w:val="003E71D0"/>
    <w:rsid w:val="003E768E"/>
    <w:rsid w:val="003E7F28"/>
    <w:rsid w:val="003F18F1"/>
    <w:rsid w:val="003F3144"/>
    <w:rsid w:val="003F4684"/>
    <w:rsid w:val="003F54F3"/>
    <w:rsid w:val="003F66AB"/>
    <w:rsid w:val="003F6E43"/>
    <w:rsid w:val="003F77AF"/>
    <w:rsid w:val="004002BE"/>
    <w:rsid w:val="004006C6"/>
    <w:rsid w:val="0040216D"/>
    <w:rsid w:val="00402288"/>
    <w:rsid w:val="00403DF3"/>
    <w:rsid w:val="00403E27"/>
    <w:rsid w:val="00404177"/>
    <w:rsid w:val="00404AA4"/>
    <w:rsid w:val="0040551D"/>
    <w:rsid w:val="00405F17"/>
    <w:rsid w:val="0040713A"/>
    <w:rsid w:val="00410274"/>
    <w:rsid w:val="00412688"/>
    <w:rsid w:val="00412FCB"/>
    <w:rsid w:val="00414A83"/>
    <w:rsid w:val="00417F96"/>
    <w:rsid w:val="00420EA5"/>
    <w:rsid w:val="00422903"/>
    <w:rsid w:val="0042319F"/>
    <w:rsid w:val="004235DD"/>
    <w:rsid w:val="00424847"/>
    <w:rsid w:val="00424F3C"/>
    <w:rsid w:val="00425404"/>
    <w:rsid w:val="004266F2"/>
    <w:rsid w:val="004278AE"/>
    <w:rsid w:val="00427DD8"/>
    <w:rsid w:val="00432F35"/>
    <w:rsid w:val="00434C6C"/>
    <w:rsid w:val="00435F21"/>
    <w:rsid w:val="00437152"/>
    <w:rsid w:val="00440CB9"/>
    <w:rsid w:val="00441238"/>
    <w:rsid w:val="004416C7"/>
    <w:rsid w:val="00442A99"/>
    <w:rsid w:val="00444663"/>
    <w:rsid w:val="00444969"/>
    <w:rsid w:val="004449D1"/>
    <w:rsid w:val="0044632D"/>
    <w:rsid w:val="00446F30"/>
    <w:rsid w:val="004519AA"/>
    <w:rsid w:val="004519CD"/>
    <w:rsid w:val="00452B1F"/>
    <w:rsid w:val="00453DE7"/>
    <w:rsid w:val="00454609"/>
    <w:rsid w:val="00457632"/>
    <w:rsid w:val="004576C7"/>
    <w:rsid w:val="00457F35"/>
    <w:rsid w:val="0046177C"/>
    <w:rsid w:val="004646CF"/>
    <w:rsid w:val="00466E99"/>
    <w:rsid w:val="00470E0A"/>
    <w:rsid w:val="004715BD"/>
    <w:rsid w:val="00471FCB"/>
    <w:rsid w:val="0047206D"/>
    <w:rsid w:val="004726C7"/>
    <w:rsid w:val="00473415"/>
    <w:rsid w:val="00474354"/>
    <w:rsid w:val="00474A0D"/>
    <w:rsid w:val="004753A5"/>
    <w:rsid w:val="00475961"/>
    <w:rsid w:val="004761B0"/>
    <w:rsid w:val="00476687"/>
    <w:rsid w:val="004769C8"/>
    <w:rsid w:val="00476D49"/>
    <w:rsid w:val="00480679"/>
    <w:rsid w:val="004807B6"/>
    <w:rsid w:val="0048422D"/>
    <w:rsid w:val="004842C9"/>
    <w:rsid w:val="004845BD"/>
    <w:rsid w:val="00484697"/>
    <w:rsid w:val="00485F44"/>
    <w:rsid w:val="00487627"/>
    <w:rsid w:val="00492386"/>
    <w:rsid w:val="00492630"/>
    <w:rsid w:val="00492E9B"/>
    <w:rsid w:val="004956C6"/>
    <w:rsid w:val="004A05A7"/>
    <w:rsid w:val="004A0803"/>
    <w:rsid w:val="004A0F61"/>
    <w:rsid w:val="004A0F95"/>
    <w:rsid w:val="004A3933"/>
    <w:rsid w:val="004A423F"/>
    <w:rsid w:val="004A66FA"/>
    <w:rsid w:val="004B04D9"/>
    <w:rsid w:val="004B09BD"/>
    <w:rsid w:val="004B0C0E"/>
    <w:rsid w:val="004B0FAA"/>
    <w:rsid w:val="004B4D3C"/>
    <w:rsid w:val="004B4F04"/>
    <w:rsid w:val="004B516D"/>
    <w:rsid w:val="004B5BD3"/>
    <w:rsid w:val="004B7E42"/>
    <w:rsid w:val="004C04C4"/>
    <w:rsid w:val="004C1DD3"/>
    <w:rsid w:val="004C38F9"/>
    <w:rsid w:val="004C3A39"/>
    <w:rsid w:val="004C443B"/>
    <w:rsid w:val="004D1A7F"/>
    <w:rsid w:val="004D22B6"/>
    <w:rsid w:val="004D31E9"/>
    <w:rsid w:val="004D4391"/>
    <w:rsid w:val="004D491A"/>
    <w:rsid w:val="004D5924"/>
    <w:rsid w:val="004D77D0"/>
    <w:rsid w:val="004D7D1C"/>
    <w:rsid w:val="004E1C01"/>
    <w:rsid w:val="004E3E91"/>
    <w:rsid w:val="004E4671"/>
    <w:rsid w:val="004E55B6"/>
    <w:rsid w:val="004E606F"/>
    <w:rsid w:val="004E7FD0"/>
    <w:rsid w:val="004F00BA"/>
    <w:rsid w:val="004F07A7"/>
    <w:rsid w:val="004F0B99"/>
    <w:rsid w:val="004F1977"/>
    <w:rsid w:val="004F2C9D"/>
    <w:rsid w:val="004F39A0"/>
    <w:rsid w:val="004F4D1E"/>
    <w:rsid w:val="005024C9"/>
    <w:rsid w:val="00504C35"/>
    <w:rsid w:val="00506B97"/>
    <w:rsid w:val="00507721"/>
    <w:rsid w:val="005125FC"/>
    <w:rsid w:val="005128E3"/>
    <w:rsid w:val="00512FBB"/>
    <w:rsid w:val="0051620A"/>
    <w:rsid w:val="00517F6C"/>
    <w:rsid w:val="00522629"/>
    <w:rsid w:val="005247D0"/>
    <w:rsid w:val="00525BDC"/>
    <w:rsid w:val="00531CE6"/>
    <w:rsid w:val="005330B5"/>
    <w:rsid w:val="00534C5B"/>
    <w:rsid w:val="00540815"/>
    <w:rsid w:val="005423CA"/>
    <w:rsid w:val="005424E4"/>
    <w:rsid w:val="00545179"/>
    <w:rsid w:val="00546084"/>
    <w:rsid w:val="00546188"/>
    <w:rsid w:val="00546989"/>
    <w:rsid w:val="00546E52"/>
    <w:rsid w:val="005472B3"/>
    <w:rsid w:val="005519D4"/>
    <w:rsid w:val="005520FD"/>
    <w:rsid w:val="0055221A"/>
    <w:rsid w:val="005527E2"/>
    <w:rsid w:val="0055399A"/>
    <w:rsid w:val="005543B6"/>
    <w:rsid w:val="00563389"/>
    <w:rsid w:val="005715E3"/>
    <w:rsid w:val="00571DD0"/>
    <w:rsid w:val="005728F4"/>
    <w:rsid w:val="005736BE"/>
    <w:rsid w:val="00573F12"/>
    <w:rsid w:val="00575D76"/>
    <w:rsid w:val="005779BC"/>
    <w:rsid w:val="00580714"/>
    <w:rsid w:val="00582263"/>
    <w:rsid w:val="005831AF"/>
    <w:rsid w:val="005832B5"/>
    <w:rsid w:val="005837B9"/>
    <w:rsid w:val="00585F4E"/>
    <w:rsid w:val="00586930"/>
    <w:rsid w:val="0058720C"/>
    <w:rsid w:val="0059256D"/>
    <w:rsid w:val="0059260C"/>
    <w:rsid w:val="00593136"/>
    <w:rsid w:val="00593623"/>
    <w:rsid w:val="00593E39"/>
    <w:rsid w:val="0059485B"/>
    <w:rsid w:val="00595466"/>
    <w:rsid w:val="00595A53"/>
    <w:rsid w:val="00596459"/>
    <w:rsid w:val="005A022F"/>
    <w:rsid w:val="005A1A6C"/>
    <w:rsid w:val="005A287F"/>
    <w:rsid w:val="005A38DC"/>
    <w:rsid w:val="005A5309"/>
    <w:rsid w:val="005A540B"/>
    <w:rsid w:val="005A6B97"/>
    <w:rsid w:val="005B0C2C"/>
    <w:rsid w:val="005B38EF"/>
    <w:rsid w:val="005B4087"/>
    <w:rsid w:val="005B4555"/>
    <w:rsid w:val="005B54E9"/>
    <w:rsid w:val="005B562E"/>
    <w:rsid w:val="005B56E5"/>
    <w:rsid w:val="005B7276"/>
    <w:rsid w:val="005C0E39"/>
    <w:rsid w:val="005C19F2"/>
    <w:rsid w:val="005C3743"/>
    <w:rsid w:val="005C4257"/>
    <w:rsid w:val="005C4707"/>
    <w:rsid w:val="005C4E6B"/>
    <w:rsid w:val="005C51A1"/>
    <w:rsid w:val="005C5CE4"/>
    <w:rsid w:val="005D17B7"/>
    <w:rsid w:val="005D2E5D"/>
    <w:rsid w:val="005D2F33"/>
    <w:rsid w:val="005D4D20"/>
    <w:rsid w:val="005D4F54"/>
    <w:rsid w:val="005D7435"/>
    <w:rsid w:val="005D7491"/>
    <w:rsid w:val="005E01C0"/>
    <w:rsid w:val="005E13DF"/>
    <w:rsid w:val="005E2C9F"/>
    <w:rsid w:val="005E3AB3"/>
    <w:rsid w:val="005E486B"/>
    <w:rsid w:val="005F0A99"/>
    <w:rsid w:val="005F2DA9"/>
    <w:rsid w:val="005F5D86"/>
    <w:rsid w:val="005F777C"/>
    <w:rsid w:val="006011D8"/>
    <w:rsid w:val="006019D3"/>
    <w:rsid w:val="00601AE1"/>
    <w:rsid w:val="00601B54"/>
    <w:rsid w:val="00602438"/>
    <w:rsid w:val="00602CEA"/>
    <w:rsid w:val="00605363"/>
    <w:rsid w:val="0060590F"/>
    <w:rsid w:val="00605967"/>
    <w:rsid w:val="00605C24"/>
    <w:rsid w:val="006066C0"/>
    <w:rsid w:val="00606814"/>
    <w:rsid w:val="00610679"/>
    <w:rsid w:val="00611772"/>
    <w:rsid w:val="00611F9F"/>
    <w:rsid w:val="006126C1"/>
    <w:rsid w:val="00612BB9"/>
    <w:rsid w:val="00613024"/>
    <w:rsid w:val="00614AF8"/>
    <w:rsid w:val="00615B9B"/>
    <w:rsid w:val="006164F1"/>
    <w:rsid w:val="0061679C"/>
    <w:rsid w:val="00620250"/>
    <w:rsid w:val="00620D33"/>
    <w:rsid w:val="006232FB"/>
    <w:rsid w:val="00623436"/>
    <w:rsid w:val="0062348B"/>
    <w:rsid w:val="0062384B"/>
    <w:rsid w:val="0062444A"/>
    <w:rsid w:val="00625E1F"/>
    <w:rsid w:val="00633417"/>
    <w:rsid w:val="00633D75"/>
    <w:rsid w:val="00635176"/>
    <w:rsid w:val="00635BB9"/>
    <w:rsid w:val="00636A7A"/>
    <w:rsid w:val="00636AE5"/>
    <w:rsid w:val="006371A1"/>
    <w:rsid w:val="0064054F"/>
    <w:rsid w:val="00643282"/>
    <w:rsid w:val="0064605E"/>
    <w:rsid w:val="0064701F"/>
    <w:rsid w:val="006507FD"/>
    <w:rsid w:val="00650E5B"/>
    <w:rsid w:val="00651245"/>
    <w:rsid w:val="0065242A"/>
    <w:rsid w:val="00653293"/>
    <w:rsid w:val="00653D0B"/>
    <w:rsid w:val="006559FC"/>
    <w:rsid w:val="00655B43"/>
    <w:rsid w:val="006568B2"/>
    <w:rsid w:val="00656EC8"/>
    <w:rsid w:val="0066178D"/>
    <w:rsid w:val="0066327E"/>
    <w:rsid w:val="006637CE"/>
    <w:rsid w:val="00665190"/>
    <w:rsid w:val="00665A13"/>
    <w:rsid w:val="00666224"/>
    <w:rsid w:val="006677E2"/>
    <w:rsid w:val="00667AFD"/>
    <w:rsid w:val="00670BA6"/>
    <w:rsid w:val="0067277B"/>
    <w:rsid w:val="00673E69"/>
    <w:rsid w:val="006745E7"/>
    <w:rsid w:val="006748F2"/>
    <w:rsid w:val="00676D31"/>
    <w:rsid w:val="00677CAB"/>
    <w:rsid w:val="006877D7"/>
    <w:rsid w:val="00690A95"/>
    <w:rsid w:val="00691387"/>
    <w:rsid w:val="006915B6"/>
    <w:rsid w:val="0069295F"/>
    <w:rsid w:val="0069301D"/>
    <w:rsid w:val="00693D77"/>
    <w:rsid w:val="00695F03"/>
    <w:rsid w:val="006A08DF"/>
    <w:rsid w:val="006A1D71"/>
    <w:rsid w:val="006A2449"/>
    <w:rsid w:val="006A2C47"/>
    <w:rsid w:val="006A341B"/>
    <w:rsid w:val="006A52D1"/>
    <w:rsid w:val="006A55FC"/>
    <w:rsid w:val="006B04E9"/>
    <w:rsid w:val="006B067A"/>
    <w:rsid w:val="006B072C"/>
    <w:rsid w:val="006B0AA4"/>
    <w:rsid w:val="006B13C8"/>
    <w:rsid w:val="006B201D"/>
    <w:rsid w:val="006B2D82"/>
    <w:rsid w:val="006B333B"/>
    <w:rsid w:val="006B4F4F"/>
    <w:rsid w:val="006B61D0"/>
    <w:rsid w:val="006B7475"/>
    <w:rsid w:val="006B7B90"/>
    <w:rsid w:val="006B7CC9"/>
    <w:rsid w:val="006C066A"/>
    <w:rsid w:val="006C2221"/>
    <w:rsid w:val="006C298B"/>
    <w:rsid w:val="006C3B6A"/>
    <w:rsid w:val="006C4141"/>
    <w:rsid w:val="006C417C"/>
    <w:rsid w:val="006C4DA1"/>
    <w:rsid w:val="006C561F"/>
    <w:rsid w:val="006C6603"/>
    <w:rsid w:val="006C7A31"/>
    <w:rsid w:val="006C7C22"/>
    <w:rsid w:val="006D09C6"/>
    <w:rsid w:val="006D13E4"/>
    <w:rsid w:val="006D1637"/>
    <w:rsid w:val="006D219D"/>
    <w:rsid w:val="006D257B"/>
    <w:rsid w:val="006D45B0"/>
    <w:rsid w:val="006D45CF"/>
    <w:rsid w:val="006D4B24"/>
    <w:rsid w:val="006D57B3"/>
    <w:rsid w:val="006D5FF1"/>
    <w:rsid w:val="006D64AA"/>
    <w:rsid w:val="006D7559"/>
    <w:rsid w:val="006D7C8C"/>
    <w:rsid w:val="006E038D"/>
    <w:rsid w:val="006E302B"/>
    <w:rsid w:val="006E3350"/>
    <w:rsid w:val="006E4796"/>
    <w:rsid w:val="006E4D43"/>
    <w:rsid w:val="006E50DD"/>
    <w:rsid w:val="006E565D"/>
    <w:rsid w:val="006E56C2"/>
    <w:rsid w:val="006E578E"/>
    <w:rsid w:val="006E5F96"/>
    <w:rsid w:val="006E776D"/>
    <w:rsid w:val="006E790C"/>
    <w:rsid w:val="006F0DFA"/>
    <w:rsid w:val="006F2CEC"/>
    <w:rsid w:val="006F3D2B"/>
    <w:rsid w:val="007015DB"/>
    <w:rsid w:val="00701B06"/>
    <w:rsid w:val="007028CC"/>
    <w:rsid w:val="0070383A"/>
    <w:rsid w:val="007042B8"/>
    <w:rsid w:val="00705F4C"/>
    <w:rsid w:val="007068E6"/>
    <w:rsid w:val="00706C1D"/>
    <w:rsid w:val="00707E96"/>
    <w:rsid w:val="007114BF"/>
    <w:rsid w:val="00712FBC"/>
    <w:rsid w:val="00715CC5"/>
    <w:rsid w:val="0071727B"/>
    <w:rsid w:val="00717EA8"/>
    <w:rsid w:val="007213D7"/>
    <w:rsid w:val="00722337"/>
    <w:rsid w:val="00722DD4"/>
    <w:rsid w:val="007243A7"/>
    <w:rsid w:val="00725D78"/>
    <w:rsid w:val="00726BC8"/>
    <w:rsid w:val="00727CCD"/>
    <w:rsid w:val="00731976"/>
    <w:rsid w:val="00732DB9"/>
    <w:rsid w:val="00733078"/>
    <w:rsid w:val="00733EA0"/>
    <w:rsid w:val="007344BA"/>
    <w:rsid w:val="007351F2"/>
    <w:rsid w:val="0073554D"/>
    <w:rsid w:val="00736084"/>
    <w:rsid w:val="00737809"/>
    <w:rsid w:val="0074139F"/>
    <w:rsid w:val="00741974"/>
    <w:rsid w:val="007425CE"/>
    <w:rsid w:val="00743101"/>
    <w:rsid w:val="00743351"/>
    <w:rsid w:val="00743B28"/>
    <w:rsid w:val="00744022"/>
    <w:rsid w:val="0074676A"/>
    <w:rsid w:val="007468B0"/>
    <w:rsid w:val="00746D24"/>
    <w:rsid w:val="00751CD6"/>
    <w:rsid w:val="00752717"/>
    <w:rsid w:val="00752724"/>
    <w:rsid w:val="00754168"/>
    <w:rsid w:val="00754799"/>
    <w:rsid w:val="007606A7"/>
    <w:rsid w:val="00764B31"/>
    <w:rsid w:val="00764CB0"/>
    <w:rsid w:val="00765097"/>
    <w:rsid w:val="00771532"/>
    <w:rsid w:val="00771805"/>
    <w:rsid w:val="0077222D"/>
    <w:rsid w:val="007727CB"/>
    <w:rsid w:val="007728E9"/>
    <w:rsid w:val="007730E6"/>
    <w:rsid w:val="007732CA"/>
    <w:rsid w:val="007745CB"/>
    <w:rsid w:val="0077493B"/>
    <w:rsid w:val="007753E1"/>
    <w:rsid w:val="00775981"/>
    <w:rsid w:val="00780420"/>
    <w:rsid w:val="007810A5"/>
    <w:rsid w:val="00781962"/>
    <w:rsid w:val="00782633"/>
    <w:rsid w:val="0078285E"/>
    <w:rsid w:val="007828BC"/>
    <w:rsid w:val="0078321E"/>
    <w:rsid w:val="00783386"/>
    <w:rsid w:val="00785068"/>
    <w:rsid w:val="00786CB7"/>
    <w:rsid w:val="0078780A"/>
    <w:rsid w:val="007904E8"/>
    <w:rsid w:val="00791C3E"/>
    <w:rsid w:val="00791D5B"/>
    <w:rsid w:val="007921DA"/>
    <w:rsid w:val="00792E25"/>
    <w:rsid w:val="00792EE1"/>
    <w:rsid w:val="00792F53"/>
    <w:rsid w:val="00793DE7"/>
    <w:rsid w:val="007956FD"/>
    <w:rsid w:val="007967A1"/>
    <w:rsid w:val="007A0008"/>
    <w:rsid w:val="007A0A12"/>
    <w:rsid w:val="007A3DCA"/>
    <w:rsid w:val="007A3E29"/>
    <w:rsid w:val="007A50AB"/>
    <w:rsid w:val="007A52DB"/>
    <w:rsid w:val="007A5586"/>
    <w:rsid w:val="007A70A5"/>
    <w:rsid w:val="007A720B"/>
    <w:rsid w:val="007B0CED"/>
    <w:rsid w:val="007B1968"/>
    <w:rsid w:val="007B1C25"/>
    <w:rsid w:val="007B1F4A"/>
    <w:rsid w:val="007B3B05"/>
    <w:rsid w:val="007B4562"/>
    <w:rsid w:val="007B613A"/>
    <w:rsid w:val="007B6674"/>
    <w:rsid w:val="007B6A2F"/>
    <w:rsid w:val="007C0B64"/>
    <w:rsid w:val="007C3A9C"/>
    <w:rsid w:val="007C3B10"/>
    <w:rsid w:val="007C3C00"/>
    <w:rsid w:val="007C4597"/>
    <w:rsid w:val="007C6FD5"/>
    <w:rsid w:val="007D17F8"/>
    <w:rsid w:val="007D2F0B"/>
    <w:rsid w:val="007D3824"/>
    <w:rsid w:val="007D393E"/>
    <w:rsid w:val="007D39CC"/>
    <w:rsid w:val="007D3A59"/>
    <w:rsid w:val="007D4F4B"/>
    <w:rsid w:val="007D6156"/>
    <w:rsid w:val="007E0F91"/>
    <w:rsid w:val="007E1C35"/>
    <w:rsid w:val="007E210B"/>
    <w:rsid w:val="007E4F86"/>
    <w:rsid w:val="007E639B"/>
    <w:rsid w:val="007E74A8"/>
    <w:rsid w:val="007F1671"/>
    <w:rsid w:val="007F185C"/>
    <w:rsid w:val="007F1D7E"/>
    <w:rsid w:val="007F2ACE"/>
    <w:rsid w:val="007F2C99"/>
    <w:rsid w:val="007F5B9C"/>
    <w:rsid w:val="00800779"/>
    <w:rsid w:val="00801D79"/>
    <w:rsid w:val="00802083"/>
    <w:rsid w:val="00802638"/>
    <w:rsid w:val="00804961"/>
    <w:rsid w:val="00805247"/>
    <w:rsid w:val="0080634B"/>
    <w:rsid w:val="00806584"/>
    <w:rsid w:val="00806E8C"/>
    <w:rsid w:val="00807F0F"/>
    <w:rsid w:val="00810438"/>
    <w:rsid w:val="0081152C"/>
    <w:rsid w:val="00811D72"/>
    <w:rsid w:val="00811F6C"/>
    <w:rsid w:val="0081253B"/>
    <w:rsid w:val="008130F5"/>
    <w:rsid w:val="00814E8D"/>
    <w:rsid w:val="00815706"/>
    <w:rsid w:val="00815906"/>
    <w:rsid w:val="008166FD"/>
    <w:rsid w:val="00816A23"/>
    <w:rsid w:val="00820A6F"/>
    <w:rsid w:val="00821312"/>
    <w:rsid w:val="00823C18"/>
    <w:rsid w:val="00824874"/>
    <w:rsid w:val="008258ED"/>
    <w:rsid w:val="008279A3"/>
    <w:rsid w:val="00827D9A"/>
    <w:rsid w:val="00831A88"/>
    <w:rsid w:val="00835997"/>
    <w:rsid w:val="00835DB1"/>
    <w:rsid w:val="0084102A"/>
    <w:rsid w:val="00844624"/>
    <w:rsid w:val="00844DC1"/>
    <w:rsid w:val="008475B4"/>
    <w:rsid w:val="00847BCA"/>
    <w:rsid w:val="00850079"/>
    <w:rsid w:val="00850C18"/>
    <w:rsid w:val="00851190"/>
    <w:rsid w:val="00853921"/>
    <w:rsid w:val="008547CB"/>
    <w:rsid w:val="00854E5A"/>
    <w:rsid w:val="00854FE4"/>
    <w:rsid w:val="008555DE"/>
    <w:rsid w:val="00855FBD"/>
    <w:rsid w:val="00856024"/>
    <w:rsid w:val="008575D6"/>
    <w:rsid w:val="0085789A"/>
    <w:rsid w:val="00860315"/>
    <w:rsid w:val="00860684"/>
    <w:rsid w:val="00863CA6"/>
    <w:rsid w:val="008641DE"/>
    <w:rsid w:val="00867856"/>
    <w:rsid w:val="008712F7"/>
    <w:rsid w:val="00876DDB"/>
    <w:rsid w:val="00876EA4"/>
    <w:rsid w:val="00877642"/>
    <w:rsid w:val="00877D14"/>
    <w:rsid w:val="00881161"/>
    <w:rsid w:val="0088159B"/>
    <w:rsid w:val="008829F5"/>
    <w:rsid w:val="00882D0A"/>
    <w:rsid w:val="0088314E"/>
    <w:rsid w:val="00883CD1"/>
    <w:rsid w:val="0088430F"/>
    <w:rsid w:val="00885024"/>
    <w:rsid w:val="00885DBB"/>
    <w:rsid w:val="00885EEE"/>
    <w:rsid w:val="00891FB9"/>
    <w:rsid w:val="008922B5"/>
    <w:rsid w:val="00893923"/>
    <w:rsid w:val="00895348"/>
    <w:rsid w:val="008A09A9"/>
    <w:rsid w:val="008A2590"/>
    <w:rsid w:val="008A25A0"/>
    <w:rsid w:val="008A3A0C"/>
    <w:rsid w:val="008A3B2B"/>
    <w:rsid w:val="008A3DC9"/>
    <w:rsid w:val="008A57E0"/>
    <w:rsid w:val="008A5B3F"/>
    <w:rsid w:val="008A611E"/>
    <w:rsid w:val="008A6671"/>
    <w:rsid w:val="008A6C39"/>
    <w:rsid w:val="008A77B0"/>
    <w:rsid w:val="008A798E"/>
    <w:rsid w:val="008B0000"/>
    <w:rsid w:val="008B110A"/>
    <w:rsid w:val="008B19E5"/>
    <w:rsid w:val="008B1FA0"/>
    <w:rsid w:val="008B2844"/>
    <w:rsid w:val="008B2E4A"/>
    <w:rsid w:val="008B32F6"/>
    <w:rsid w:val="008B33A2"/>
    <w:rsid w:val="008B3734"/>
    <w:rsid w:val="008B4943"/>
    <w:rsid w:val="008B6DD9"/>
    <w:rsid w:val="008C081D"/>
    <w:rsid w:val="008C152B"/>
    <w:rsid w:val="008C168B"/>
    <w:rsid w:val="008C1DFD"/>
    <w:rsid w:val="008C2255"/>
    <w:rsid w:val="008C22EF"/>
    <w:rsid w:val="008C28DB"/>
    <w:rsid w:val="008C3518"/>
    <w:rsid w:val="008C5371"/>
    <w:rsid w:val="008C66F1"/>
    <w:rsid w:val="008C6E37"/>
    <w:rsid w:val="008C7296"/>
    <w:rsid w:val="008C78B1"/>
    <w:rsid w:val="008D0D35"/>
    <w:rsid w:val="008D2B08"/>
    <w:rsid w:val="008D3943"/>
    <w:rsid w:val="008D4B07"/>
    <w:rsid w:val="008D5249"/>
    <w:rsid w:val="008D5456"/>
    <w:rsid w:val="008D6619"/>
    <w:rsid w:val="008D68FB"/>
    <w:rsid w:val="008E0FB0"/>
    <w:rsid w:val="008E16D9"/>
    <w:rsid w:val="008E6169"/>
    <w:rsid w:val="008E6C63"/>
    <w:rsid w:val="008E7A67"/>
    <w:rsid w:val="008E7B1C"/>
    <w:rsid w:val="008E7FCD"/>
    <w:rsid w:val="008F0E77"/>
    <w:rsid w:val="008F134F"/>
    <w:rsid w:val="008F29B3"/>
    <w:rsid w:val="008F3B7E"/>
    <w:rsid w:val="008F3F2E"/>
    <w:rsid w:val="008F40ED"/>
    <w:rsid w:val="008F549E"/>
    <w:rsid w:val="009002C8"/>
    <w:rsid w:val="0090060B"/>
    <w:rsid w:val="00900800"/>
    <w:rsid w:val="00900C50"/>
    <w:rsid w:val="0090204F"/>
    <w:rsid w:val="0090295A"/>
    <w:rsid w:val="0090531C"/>
    <w:rsid w:val="00910C44"/>
    <w:rsid w:val="00911CFB"/>
    <w:rsid w:val="00911ED5"/>
    <w:rsid w:val="00912873"/>
    <w:rsid w:val="009138B6"/>
    <w:rsid w:val="00913D75"/>
    <w:rsid w:val="0091416C"/>
    <w:rsid w:val="009142DB"/>
    <w:rsid w:val="00914518"/>
    <w:rsid w:val="0091453F"/>
    <w:rsid w:val="0091538F"/>
    <w:rsid w:val="009163E0"/>
    <w:rsid w:val="00917385"/>
    <w:rsid w:val="009204A6"/>
    <w:rsid w:val="009217F3"/>
    <w:rsid w:val="00921B2F"/>
    <w:rsid w:val="009232AE"/>
    <w:rsid w:val="009254C1"/>
    <w:rsid w:val="00930DDD"/>
    <w:rsid w:val="00931345"/>
    <w:rsid w:val="00934EC0"/>
    <w:rsid w:val="009355DC"/>
    <w:rsid w:val="00937205"/>
    <w:rsid w:val="00940897"/>
    <w:rsid w:val="00940C73"/>
    <w:rsid w:val="00941E92"/>
    <w:rsid w:val="00942293"/>
    <w:rsid w:val="0094314F"/>
    <w:rsid w:val="00943D71"/>
    <w:rsid w:val="00944197"/>
    <w:rsid w:val="009446F8"/>
    <w:rsid w:val="00944B0C"/>
    <w:rsid w:val="00946D62"/>
    <w:rsid w:val="0094770A"/>
    <w:rsid w:val="0095053F"/>
    <w:rsid w:val="00951E5E"/>
    <w:rsid w:val="00952EB2"/>
    <w:rsid w:val="00953D7B"/>
    <w:rsid w:val="009550E0"/>
    <w:rsid w:val="0095519C"/>
    <w:rsid w:val="00955A6C"/>
    <w:rsid w:val="00955CB7"/>
    <w:rsid w:val="0096127B"/>
    <w:rsid w:val="00961794"/>
    <w:rsid w:val="00964190"/>
    <w:rsid w:val="0096443D"/>
    <w:rsid w:val="0096451B"/>
    <w:rsid w:val="00964690"/>
    <w:rsid w:val="00964987"/>
    <w:rsid w:val="0096532C"/>
    <w:rsid w:val="00970EF9"/>
    <w:rsid w:val="0097100B"/>
    <w:rsid w:val="00971537"/>
    <w:rsid w:val="00972AD1"/>
    <w:rsid w:val="00972CE7"/>
    <w:rsid w:val="00974303"/>
    <w:rsid w:val="00974A87"/>
    <w:rsid w:val="009753D7"/>
    <w:rsid w:val="009754F4"/>
    <w:rsid w:val="00976517"/>
    <w:rsid w:val="00977AF9"/>
    <w:rsid w:val="00980EEC"/>
    <w:rsid w:val="0098133C"/>
    <w:rsid w:val="00983438"/>
    <w:rsid w:val="00984E75"/>
    <w:rsid w:val="009852FE"/>
    <w:rsid w:val="0098794C"/>
    <w:rsid w:val="009903C4"/>
    <w:rsid w:val="00992C40"/>
    <w:rsid w:val="009940B0"/>
    <w:rsid w:val="00995110"/>
    <w:rsid w:val="00995AA0"/>
    <w:rsid w:val="00996B76"/>
    <w:rsid w:val="00996CB1"/>
    <w:rsid w:val="00996E87"/>
    <w:rsid w:val="009973AC"/>
    <w:rsid w:val="00997C7F"/>
    <w:rsid w:val="00997D61"/>
    <w:rsid w:val="009A0A9A"/>
    <w:rsid w:val="009A0CA1"/>
    <w:rsid w:val="009A0EDE"/>
    <w:rsid w:val="009A19D5"/>
    <w:rsid w:val="009A2510"/>
    <w:rsid w:val="009A312C"/>
    <w:rsid w:val="009A48BF"/>
    <w:rsid w:val="009A499D"/>
    <w:rsid w:val="009A55A2"/>
    <w:rsid w:val="009A6209"/>
    <w:rsid w:val="009A665C"/>
    <w:rsid w:val="009B00C7"/>
    <w:rsid w:val="009B08D4"/>
    <w:rsid w:val="009B44FE"/>
    <w:rsid w:val="009B479D"/>
    <w:rsid w:val="009B75E5"/>
    <w:rsid w:val="009B7F54"/>
    <w:rsid w:val="009C0E95"/>
    <w:rsid w:val="009C170B"/>
    <w:rsid w:val="009C1F80"/>
    <w:rsid w:val="009C231C"/>
    <w:rsid w:val="009C2A10"/>
    <w:rsid w:val="009C2E4B"/>
    <w:rsid w:val="009C450B"/>
    <w:rsid w:val="009C48A1"/>
    <w:rsid w:val="009C4C31"/>
    <w:rsid w:val="009C4FD8"/>
    <w:rsid w:val="009C72EE"/>
    <w:rsid w:val="009C73DB"/>
    <w:rsid w:val="009D04D5"/>
    <w:rsid w:val="009D0E19"/>
    <w:rsid w:val="009D1117"/>
    <w:rsid w:val="009D2883"/>
    <w:rsid w:val="009D2B13"/>
    <w:rsid w:val="009D3258"/>
    <w:rsid w:val="009D586A"/>
    <w:rsid w:val="009D59B8"/>
    <w:rsid w:val="009E170D"/>
    <w:rsid w:val="009E1712"/>
    <w:rsid w:val="009E2E8F"/>
    <w:rsid w:val="009E5E11"/>
    <w:rsid w:val="009E687D"/>
    <w:rsid w:val="009E6AF5"/>
    <w:rsid w:val="009F0711"/>
    <w:rsid w:val="009F099E"/>
    <w:rsid w:val="009F0E98"/>
    <w:rsid w:val="009F286A"/>
    <w:rsid w:val="009F330E"/>
    <w:rsid w:val="009F337B"/>
    <w:rsid w:val="009F4875"/>
    <w:rsid w:val="009F64C4"/>
    <w:rsid w:val="009F6EED"/>
    <w:rsid w:val="009F7BCC"/>
    <w:rsid w:val="00A0061A"/>
    <w:rsid w:val="00A0197F"/>
    <w:rsid w:val="00A02617"/>
    <w:rsid w:val="00A03580"/>
    <w:rsid w:val="00A04761"/>
    <w:rsid w:val="00A05835"/>
    <w:rsid w:val="00A05C57"/>
    <w:rsid w:val="00A062FE"/>
    <w:rsid w:val="00A10C13"/>
    <w:rsid w:val="00A1225C"/>
    <w:rsid w:val="00A1461F"/>
    <w:rsid w:val="00A14EFF"/>
    <w:rsid w:val="00A205D0"/>
    <w:rsid w:val="00A224CE"/>
    <w:rsid w:val="00A2294F"/>
    <w:rsid w:val="00A24487"/>
    <w:rsid w:val="00A24EF5"/>
    <w:rsid w:val="00A26126"/>
    <w:rsid w:val="00A264AB"/>
    <w:rsid w:val="00A264F6"/>
    <w:rsid w:val="00A265DB"/>
    <w:rsid w:val="00A276E2"/>
    <w:rsid w:val="00A310F6"/>
    <w:rsid w:val="00A31330"/>
    <w:rsid w:val="00A31C17"/>
    <w:rsid w:val="00A337C4"/>
    <w:rsid w:val="00A33E4C"/>
    <w:rsid w:val="00A34580"/>
    <w:rsid w:val="00A34EF7"/>
    <w:rsid w:val="00A35A25"/>
    <w:rsid w:val="00A35B8C"/>
    <w:rsid w:val="00A35EEE"/>
    <w:rsid w:val="00A36234"/>
    <w:rsid w:val="00A362C4"/>
    <w:rsid w:val="00A4071C"/>
    <w:rsid w:val="00A427B6"/>
    <w:rsid w:val="00A42B8D"/>
    <w:rsid w:val="00A43D10"/>
    <w:rsid w:val="00A450CF"/>
    <w:rsid w:val="00A46021"/>
    <w:rsid w:val="00A460A8"/>
    <w:rsid w:val="00A46E55"/>
    <w:rsid w:val="00A47149"/>
    <w:rsid w:val="00A50BC1"/>
    <w:rsid w:val="00A50DE3"/>
    <w:rsid w:val="00A5148F"/>
    <w:rsid w:val="00A51818"/>
    <w:rsid w:val="00A53533"/>
    <w:rsid w:val="00A542C0"/>
    <w:rsid w:val="00A560DA"/>
    <w:rsid w:val="00A56535"/>
    <w:rsid w:val="00A56DAA"/>
    <w:rsid w:val="00A57275"/>
    <w:rsid w:val="00A57C62"/>
    <w:rsid w:val="00A60D8A"/>
    <w:rsid w:val="00A60EBA"/>
    <w:rsid w:val="00A615A0"/>
    <w:rsid w:val="00A62E21"/>
    <w:rsid w:val="00A63063"/>
    <w:rsid w:val="00A63F53"/>
    <w:rsid w:val="00A65A47"/>
    <w:rsid w:val="00A65AA5"/>
    <w:rsid w:val="00A65D78"/>
    <w:rsid w:val="00A66644"/>
    <w:rsid w:val="00A66905"/>
    <w:rsid w:val="00A671FC"/>
    <w:rsid w:val="00A705D6"/>
    <w:rsid w:val="00A71C34"/>
    <w:rsid w:val="00A7252D"/>
    <w:rsid w:val="00A72819"/>
    <w:rsid w:val="00A72AA0"/>
    <w:rsid w:val="00A734E2"/>
    <w:rsid w:val="00A73CBB"/>
    <w:rsid w:val="00A767AA"/>
    <w:rsid w:val="00A76A98"/>
    <w:rsid w:val="00A800FD"/>
    <w:rsid w:val="00A802F4"/>
    <w:rsid w:val="00A8096F"/>
    <w:rsid w:val="00A82472"/>
    <w:rsid w:val="00A832C4"/>
    <w:rsid w:val="00A83372"/>
    <w:rsid w:val="00A849D4"/>
    <w:rsid w:val="00A85D5F"/>
    <w:rsid w:val="00A86600"/>
    <w:rsid w:val="00A86672"/>
    <w:rsid w:val="00A86732"/>
    <w:rsid w:val="00A9053E"/>
    <w:rsid w:val="00A93316"/>
    <w:rsid w:val="00A94FD1"/>
    <w:rsid w:val="00A954F8"/>
    <w:rsid w:val="00A9732B"/>
    <w:rsid w:val="00A976B4"/>
    <w:rsid w:val="00AA1C5C"/>
    <w:rsid w:val="00AA2EC3"/>
    <w:rsid w:val="00AA3857"/>
    <w:rsid w:val="00AA4D83"/>
    <w:rsid w:val="00AA6360"/>
    <w:rsid w:val="00AB033E"/>
    <w:rsid w:val="00AB0CE0"/>
    <w:rsid w:val="00AB1253"/>
    <w:rsid w:val="00AB2179"/>
    <w:rsid w:val="00AB431F"/>
    <w:rsid w:val="00AB5234"/>
    <w:rsid w:val="00AB721E"/>
    <w:rsid w:val="00AC46DB"/>
    <w:rsid w:val="00AC4D88"/>
    <w:rsid w:val="00AC52ED"/>
    <w:rsid w:val="00AC628F"/>
    <w:rsid w:val="00AC6E27"/>
    <w:rsid w:val="00AC788F"/>
    <w:rsid w:val="00AD0B5C"/>
    <w:rsid w:val="00AD1DD2"/>
    <w:rsid w:val="00AD2599"/>
    <w:rsid w:val="00AD2D77"/>
    <w:rsid w:val="00AD3B28"/>
    <w:rsid w:val="00AD47AB"/>
    <w:rsid w:val="00AD5345"/>
    <w:rsid w:val="00AD67E0"/>
    <w:rsid w:val="00AE003E"/>
    <w:rsid w:val="00AE05A2"/>
    <w:rsid w:val="00AE1C0E"/>
    <w:rsid w:val="00AE2CC9"/>
    <w:rsid w:val="00AE35E2"/>
    <w:rsid w:val="00AE6972"/>
    <w:rsid w:val="00AF0BA6"/>
    <w:rsid w:val="00AF2038"/>
    <w:rsid w:val="00AF320D"/>
    <w:rsid w:val="00AF32CC"/>
    <w:rsid w:val="00AF33CB"/>
    <w:rsid w:val="00AF3ADD"/>
    <w:rsid w:val="00AF3E6B"/>
    <w:rsid w:val="00AF3FC2"/>
    <w:rsid w:val="00AF4E1B"/>
    <w:rsid w:val="00AF5E51"/>
    <w:rsid w:val="00B00277"/>
    <w:rsid w:val="00B003EB"/>
    <w:rsid w:val="00B0213A"/>
    <w:rsid w:val="00B062FD"/>
    <w:rsid w:val="00B069AE"/>
    <w:rsid w:val="00B072DA"/>
    <w:rsid w:val="00B07E29"/>
    <w:rsid w:val="00B104A9"/>
    <w:rsid w:val="00B10F8F"/>
    <w:rsid w:val="00B1233D"/>
    <w:rsid w:val="00B13E2B"/>
    <w:rsid w:val="00B16845"/>
    <w:rsid w:val="00B1720F"/>
    <w:rsid w:val="00B17A06"/>
    <w:rsid w:val="00B22FBB"/>
    <w:rsid w:val="00B23DF5"/>
    <w:rsid w:val="00B25D8A"/>
    <w:rsid w:val="00B308B2"/>
    <w:rsid w:val="00B30960"/>
    <w:rsid w:val="00B3269B"/>
    <w:rsid w:val="00B34725"/>
    <w:rsid w:val="00B34A19"/>
    <w:rsid w:val="00B356D2"/>
    <w:rsid w:val="00B376E8"/>
    <w:rsid w:val="00B42FFE"/>
    <w:rsid w:val="00B44572"/>
    <w:rsid w:val="00B44E7A"/>
    <w:rsid w:val="00B4618F"/>
    <w:rsid w:val="00B511AE"/>
    <w:rsid w:val="00B5161F"/>
    <w:rsid w:val="00B52686"/>
    <w:rsid w:val="00B52F1F"/>
    <w:rsid w:val="00B552FD"/>
    <w:rsid w:val="00B56F78"/>
    <w:rsid w:val="00B56FCB"/>
    <w:rsid w:val="00B57CC9"/>
    <w:rsid w:val="00B57E92"/>
    <w:rsid w:val="00B61972"/>
    <w:rsid w:val="00B646A4"/>
    <w:rsid w:val="00B64B80"/>
    <w:rsid w:val="00B6751C"/>
    <w:rsid w:val="00B72156"/>
    <w:rsid w:val="00B73043"/>
    <w:rsid w:val="00B73AC2"/>
    <w:rsid w:val="00B73B32"/>
    <w:rsid w:val="00B752E6"/>
    <w:rsid w:val="00B7554F"/>
    <w:rsid w:val="00B75E7E"/>
    <w:rsid w:val="00B76A82"/>
    <w:rsid w:val="00B77640"/>
    <w:rsid w:val="00B778FE"/>
    <w:rsid w:val="00B77C0B"/>
    <w:rsid w:val="00B77F0C"/>
    <w:rsid w:val="00B81012"/>
    <w:rsid w:val="00B81065"/>
    <w:rsid w:val="00B812E7"/>
    <w:rsid w:val="00B813B3"/>
    <w:rsid w:val="00B81C72"/>
    <w:rsid w:val="00B8318D"/>
    <w:rsid w:val="00B85255"/>
    <w:rsid w:val="00B8531A"/>
    <w:rsid w:val="00B87FBC"/>
    <w:rsid w:val="00B912E3"/>
    <w:rsid w:val="00B95307"/>
    <w:rsid w:val="00B97410"/>
    <w:rsid w:val="00B97F34"/>
    <w:rsid w:val="00BA02FA"/>
    <w:rsid w:val="00BA068B"/>
    <w:rsid w:val="00BA072D"/>
    <w:rsid w:val="00BA45BB"/>
    <w:rsid w:val="00BA464A"/>
    <w:rsid w:val="00BA46C5"/>
    <w:rsid w:val="00BA77CE"/>
    <w:rsid w:val="00BB03BC"/>
    <w:rsid w:val="00BB0526"/>
    <w:rsid w:val="00BB1227"/>
    <w:rsid w:val="00BB1F5C"/>
    <w:rsid w:val="00BB234B"/>
    <w:rsid w:val="00BB2495"/>
    <w:rsid w:val="00BB3E4D"/>
    <w:rsid w:val="00BB444D"/>
    <w:rsid w:val="00BB4B5F"/>
    <w:rsid w:val="00BB5275"/>
    <w:rsid w:val="00BB6B37"/>
    <w:rsid w:val="00BB75E1"/>
    <w:rsid w:val="00BC1CEB"/>
    <w:rsid w:val="00BC47E0"/>
    <w:rsid w:val="00BC4924"/>
    <w:rsid w:val="00BC4C23"/>
    <w:rsid w:val="00BC56A1"/>
    <w:rsid w:val="00BC599E"/>
    <w:rsid w:val="00BC5CE7"/>
    <w:rsid w:val="00BC5D64"/>
    <w:rsid w:val="00BC60BC"/>
    <w:rsid w:val="00BC6419"/>
    <w:rsid w:val="00BC66CA"/>
    <w:rsid w:val="00BD18DA"/>
    <w:rsid w:val="00BD1BDF"/>
    <w:rsid w:val="00BD1FDE"/>
    <w:rsid w:val="00BD265C"/>
    <w:rsid w:val="00BD2B7C"/>
    <w:rsid w:val="00BD33B3"/>
    <w:rsid w:val="00BD382D"/>
    <w:rsid w:val="00BD576E"/>
    <w:rsid w:val="00BD681D"/>
    <w:rsid w:val="00BD74EE"/>
    <w:rsid w:val="00BE0816"/>
    <w:rsid w:val="00BE0C86"/>
    <w:rsid w:val="00BE234D"/>
    <w:rsid w:val="00BE2613"/>
    <w:rsid w:val="00BE4061"/>
    <w:rsid w:val="00BE450C"/>
    <w:rsid w:val="00BE50D6"/>
    <w:rsid w:val="00BE538D"/>
    <w:rsid w:val="00BE5E55"/>
    <w:rsid w:val="00BE6E44"/>
    <w:rsid w:val="00BE6E69"/>
    <w:rsid w:val="00BE71F9"/>
    <w:rsid w:val="00BE7241"/>
    <w:rsid w:val="00BE7E38"/>
    <w:rsid w:val="00BF0508"/>
    <w:rsid w:val="00BF419E"/>
    <w:rsid w:val="00BF4367"/>
    <w:rsid w:val="00BF6902"/>
    <w:rsid w:val="00C00546"/>
    <w:rsid w:val="00C03975"/>
    <w:rsid w:val="00C0453F"/>
    <w:rsid w:val="00C04BF2"/>
    <w:rsid w:val="00C055E2"/>
    <w:rsid w:val="00C065DE"/>
    <w:rsid w:val="00C06749"/>
    <w:rsid w:val="00C07980"/>
    <w:rsid w:val="00C07F54"/>
    <w:rsid w:val="00C10FAB"/>
    <w:rsid w:val="00C1116B"/>
    <w:rsid w:val="00C112A9"/>
    <w:rsid w:val="00C118D8"/>
    <w:rsid w:val="00C126C0"/>
    <w:rsid w:val="00C12A38"/>
    <w:rsid w:val="00C15503"/>
    <w:rsid w:val="00C20824"/>
    <w:rsid w:val="00C209E4"/>
    <w:rsid w:val="00C20F9F"/>
    <w:rsid w:val="00C231F7"/>
    <w:rsid w:val="00C2391C"/>
    <w:rsid w:val="00C23FF9"/>
    <w:rsid w:val="00C24CA2"/>
    <w:rsid w:val="00C265ED"/>
    <w:rsid w:val="00C273CC"/>
    <w:rsid w:val="00C2750D"/>
    <w:rsid w:val="00C31AD5"/>
    <w:rsid w:val="00C31FC7"/>
    <w:rsid w:val="00C322EC"/>
    <w:rsid w:val="00C364B8"/>
    <w:rsid w:val="00C378F4"/>
    <w:rsid w:val="00C37D1B"/>
    <w:rsid w:val="00C40281"/>
    <w:rsid w:val="00C41917"/>
    <w:rsid w:val="00C42017"/>
    <w:rsid w:val="00C4249E"/>
    <w:rsid w:val="00C425C0"/>
    <w:rsid w:val="00C4282A"/>
    <w:rsid w:val="00C44190"/>
    <w:rsid w:val="00C46C2E"/>
    <w:rsid w:val="00C47816"/>
    <w:rsid w:val="00C5053B"/>
    <w:rsid w:val="00C518CD"/>
    <w:rsid w:val="00C52A35"/>
    <w:rsid w:val="00C534BC"/>
    <w:rsid w:val="00C55C04"/>
    <w:rsid w:val="00C563EB"/>
    <w:rsid w:val="00C56440"/>
    <w:rsid w:val="00C617FC"/>
    <w:rsid w:val="00C61A58"/>
    <w:rsid w:val="00C62738"/>
    <w:rsid w:val="00C63794"/>
    <w:rsid w:val="00C64099"/>
    <w:rsid w:val="00C65CAB"/>
    <w:rsid w:val="00C660DF"/>
    <w:rsid w:val="00C673E8"/>
    <w:rsid w:val="00C721B1"/>
    <w:rsid w:val="00C725C9"/>
    <w:rsid w:val="00C730A6"/>
    <w:rsid w:val="00C74C45"/>
    <w:rsid w:val="00C76C37"/>
    <w:rsid w:val="00C76E67"/>
    <w:rsid w:val="00C77E85"/>
    <w:rsid w:val="00C8115C"/>
    <w:rsid w:val="00C81B92"/>
    <w:rsid w:val="00C82CC7"/>
    <w:rsid w:val="00C82EA1"/>
    <w:rsid w:val="00C832F7"/>
    <w:rsid w:val="00C83C5E"/>
    <w:rsid w:val="00C84037"/>
    <w:rsid w:val="00C87590"/>
    <w:rsid w:val="00C90926"/>
    <w:rsid w:val="00C90D4B"/>
    <w:rsid w:val="00C929DE"/>
    <w:rsid w:val="00C92B28"/>
    <w:rsid w:val="00C93871"/>
    <w:rsid w:val="00C960B9"/>
    <w:rsid w:val="00C96238"/>
    <w:rsid w:val="00C96EB5"/>
    <w:rsid w:val="00C97CC6"/>
    <w:rsid w:val="00CA0A52"/>
    <w:rsid w:val="00CA4C5C"/>
    <w:rsid w:val="00CA5884"/>
    <w:rsid w:val="00CA5B0F"/>
    <w:rsid w:val="00CB15A0"/>
    <w:rsid w:val="00CB17A1"/>
    <w:rsid w:val="00CB1FA6"/>
    <w:rsid w:val="00CB2A4F"/>
    <w:rsid w:val="00CB59BA"/>
    <w:rsid w:val="00CB5B40"/>
    <w:rsid w:val="00CB5E33"/>
    <w:rsid w:val="00CB607E"/>
    <w:rsid w:val="00CB7F6E"/>
    <w:rsid w:val="00CC0449"/>
    <w:rsid w:val="00CC073B"/>
    <w:rsid w:val="00CC0C62"/>
    <w:rsid w:val="00CC0C64"/>
    <w:rsid w:val="00CC20DC"/>
    <w:rsid w:val="00CD182A"/>
    <w:rsid w:val="00CD27E3"/>
    <w:rsid w:val="00CD29C7"/>
    <w:rsid w:val="00CD4A5A"/>
    <w:rsid w:val="00CD5790"/>
    <w:rsid w:val="00CD65F7"/>
    <w:rsid w:val="00CD73CA"/>
    <w:rsid w:val="00CD7A92"/>
    <w:rsid w:val="00CD7E39"/>
    <w:rsid w:val="00CE041B"/>
    <w:rsid w:val="00CE0ADC"/>
    <w:rsid w:val="00CE0E27"/>
    <w:rsid w:val="00CE1DA8"/>
    <w:rsid w:val="00CE20BD"/>
    <w:rsid w:val="00CE27F2"/>
    <w:rsid w:val="00CE41E4"/>
    <w:rsid w:val="00CE4DD8"/>
    <w:rsid w:val="00CE5FC7"/>
    <w:rsid w:val="00CF1AE5"/>
    <w:rsid w:val="00CF2EAB"/>
    <w:rsid w:val="00CF392F"/>
    <w:rsid w:val="00CF3B32"/>
    <w:rsid w:val="00CF4DC8"/>
    <w:rsid w:val="00CF5BE7"/>
    <w:rsid w:val="00CF6009"/>
    <w:rsid w:val="00D01D64"/>
    <w:rsid w:val="00D022D6"/>
    <w:rsid w:val="00D02B96"/>
    <w:rsid w:val="00D0354D"/>
    <w:rsid w:val="00D03CC3"/>
    <w:rsid w:val="00D04468"/>
    <w:rsid w:val="00D0453B"/>
    <w:rsid w:val="00D05D86"/>
    <w:rsid w:val="00D06155"/>
    <w:rsid w:val="00D071D3"/>
    <w:rsid w:val="00D0795B"/>
    <w:rsid w:val="00D1100B"/>
    <w:rsid w:val="00D11275"/>
    <w:rsid w:val="00D11455"/>
    <w:rsid w:val="00D12AA1"/>
    <w:rsid w:val="00D12C25"/>
    <w:rsid w:val="00D14046"/>
    <w:rsid w:val="00D153FC"/>
    <w:rsid w:val="00D159C0"/>
    <w:rsid w:val="00D16646"/>
    <w:rsid w:val="00D16B7D"/>
    <w:rsid w:val="00D17409"/>
    <w:rsid w:val="00D207C2"/>
    <w:rsid w:val="00D21195"/>
    <w:rsid w:val="00D216BA"/>
    <w:rsid w:val="00D24A20"/>
    <w:rsid w:val="00D24DB5"/>
    <w:rsid w:val="00D271DF"/>
    <w:rsid w:val="00D275BA"/>
    <w:rsid w:val="00D27C75"/>
    <w:rsid w:val="00D30847"/>
    <w:rsid w:val="00D30C09"/>
    <w:rsid w:val="00D35A37"/>
    <w:rsid w:val="00D361A8"/>
    <w:rsid w:val="00D362CA"/>
    <w:rsid w:val="00D36505"/>
    <w:rsid w:val="00D369A9"/>
    <w:rsid w:val="00D37426"/>
    <w:rsid w:val="00D4476F"/>
    <w:rsid w:val="00D44854"/>
    <w:rsid w:val="00D46E24"/>
    <w:rsid w:val="00D47F72"/>
    <w:rsid w:val="00D53305"/>
    <w:rsid w:val="00D53351"/>
    <w:rsid w:val="00D54BB5"/>
    <w:rsid w:val="00D54E35"/>
    <w:rsid w:val="00D54EB2"/>
    <w:rsid w:val="00D55980"/>
    <w:rsid w:val="00D55F7D"/>
    <w:rsid w:val="00D56393"/>
    <w:rsid w:val="00D578D0"/>
    <w:rsid w:val="00D61BC5"/>
    <w:rsid w:val="00D62DE0"/>
    <w:rsid w:val="00D65AC6"/>
    <w:rsid w:val="00D65AE7"/>
    <w:rsid w:val="00D65D9B"/>
    <w:rsid w:val="00D66D40"/>
    <w:rsid w:val="00D67342"/>
    <w:rsid w:val="00D70CBB"/>
    <w:rsid w:val="00D718B8"/>
    <w:rsid w:val="00D71B68"/>
    <w:rsid w:val="00D7349D"/>
    <w:rsid w:val="00D74670"/>
    <w:rsid w:val="00D74C96"/>
    <w:rsid w:val="00D7581B"/>
    <w:rsid w:val="00D806B9"/>
    <w:rsid w:val="00D84EE3"/>
    <w:rsid w:val="00D85AE5"/>
    <w:rsid w:val="00D85E43"/>
    <w:rsid w:val="00D86B6B"/>
    <w:rsid w:val="00D8705D"/>
    <w:rsid w:val="00D871A5"/>
    <w:rsid w:val="00D90AF6"/>
    <w:rsid w:val="00D93C37"/>
    <w:rsid w:val="00D9564F"/>
    <w:rsid w:val="00D97283"/>
    <w:rsid w:val="00D9735A"/>
    <w:rsid w:val="00DA0565"/>
    <w:rsid w:val="00DA0B6D"/>
    <w:rsid w:val="00DA2307"/>
    <w:rsid w:val="00DA4ADF"/>
    <w:rsid w:val="00DA6F02"/>
    <w:rsid w:val="00DA6F06"/>
    <w:rsid w:val="00DB066A"/>
    <w:rsid w:val="00DB09C0"/>
    <w:rsid w:val="00DB1554"/>
    <w:rsid w:val="00DB1F35"/>
    <w:rsid w:val="00DB22B0"/>
    <w:rsid w:val="00DB468C"/>
    <w:rsid w:val="00DB4706"/>
    <w:rsid w:val="00DB48EC"/>
    <w:rsid w:val="00DB5C65"/>
    <w:rsid w:val="00DB6C4E"/>
    <w:rsid w:val="00DB7CD9"/>
    <w:rsid w:val="00DC102F"/>
    <w:rsid w:val="00DC31BF"/>
    <w:rsid w:val="00DC32DF"/>
    <w:rsid w:val="00DC46EB"/>
    <w:rsid w:val="00DC544D"/>
    <w:rsid w:val="00DC55FE"/>
    <w:rsid w:val="00DC7CA9"/>
    <w:rsid w:val="00DD0F6D"/>
    <w:rsid w:val="00DD111C"/>
    <w:rsid w:val="00DD18CB"/>
    <w:rsid w:val="00DD5923"/>
    <w:rsid w:val="00DD6342"/>
    <w:rsid w:val="00DE108C"/>
    <w:rsid w:val="00DE118C"/>
    <w:rsid w:val="00DE165B"/>
    <w:rsid w:val="00DE1F7C"/>
    <w:rsid w:val="00DE3D3A"/>
    <w:rsid w:val="00DE3E38"/>
    <w:rsid w:val="00DE5034"/>
    <w:rsid w:val="00DE63BE"/>
    <w:rsid w:val="00DE6687"/>
    <w:rsid w:val="00DE6F24"/>
    <w:rsid w:val="00DF1164"/>
    <w:rsid w:val="00DF1628"/>
    <w:rsid w:val="00DF1B93"/>
    <w:rsid w:val="00DF30B8"/>
    <w:rsid w:val="00DF3831"/>
    <w:rsid w:val="00DF5F43"/>
    <w:rsid w:val="00DF63AB"/>
    <w:rsid w:val="00DF6F1C"/>
    <w:rsid w:val="00E00110"/>
    <w:rsid w:val="00E008AA"/>
    <w:rsid w:val="00E02C00"/>
    <w:rsid w:val="00E02F00"/>
    <w:rsid w:val="00E0326D"/>
    <w:rsid w:val="00E03F4F"/>
    <w:rsid w:val="00E0471C"/>
    <w:rsid w:val="00E04E47"/>
    <w:rsid w:val="00E106D1"/>
    <w:rsid w:val="00E10E76"/>
    <w:rsid w:val="00E11928"/>
    <w:rsid w:val="00E121F2"/>
    <w:rsid w:val="00E137CF"/>
    <w:rsid w:val="00E14450"/>
    <w:rsid w:val="00E14523"/>
    <w:rsid w:val="00E14FC3"/>
    <w:rsid w:val="00E166D9"/>
    <w:rsid w:val="00E16C08"/>
    <w:rsid w:val="00E219ED"/>
    <w:rsid w:val="00E23CA5"/>
    <w:rsid w:val="00E271DA"/>
    <w:rsid w:val="00E27DC7"/>
    <w:rsid w:val="00E3174E"/>
    <w:rsid w:val="00E321AE"/>
    <w:rsid w:val="00E32D73"/>
    <w:rsid w:val="00E32F36"/>
    <w:rsid w:val="00E346C6"/>
    <w:rsid w:val="00E3677A"/>
    <w:rsid w:val="00E37E6D"/>
    <w:rsid w:val="00E41042"/>
    <w:rsid w:val="00E41256"/>
    <w:rsid w:val="00E41428"/>
    <w:rsid w:val="00E41E1C"/>
    <w:rsid w:val="00E43539"/>
    <w:rsid w:val="00E44DE1"/>
    <w:rsid w:val="00E473A0"/>
    <w:rsid w:val="00E506EA"/>
    <w:rsid w:val="00E50FCE"/>
    <w:rsid w:val="00E53608"/>
    <w:rsid w:val="00E537EB"/>
    <w:rsid w:val="00E53F12"/>
    <w:rsid w:val="00E54A21"/>
    <w:rsid w:val="00E57670"/>
    <w:rsid w:val="00E604A0"/>
    <w:rsid w:val="00E60D3B"/>
    <w:rsid w:val="00E60F2B"/>
    <w:rsid w:val="00E6443D"/>
    <w:rsid w:val="00E64988"/>
    <w:rsid w:val="00E656E3"/>
    <w:rsid w:val="00E65758"/>
    <w:rsid w:val="00E660EB"/>
    <w:rsid w:val="00E6707D"/>
    <w:rsid w:val="00E707AB"/>
    <w:rsid w:val="00E71AC6"/>
    <w:rsid w:val="00E723E0"/>
    <w:rsid w:val="00E729B1"/>
    <w:rsid w:val="00E72B5E"/>
    <w:rsid w:val="00E736D1"/>
    <w:rsid w:val="00E73CA8"/>
    <w:rsid w:val="00E7523F"/>
    <w:rsid w:val="00E765B7"/>
    <w:rsid w:val="00E76798"/>
    <w:rsid w:val="00E77801"/>
    <w:rsid w:val="00E77A0D"/>
    <w:rsid w:val="00E80B0E"/>
    <w:rsid w:val="00E82018"/>
    <w:rsid w:val="00E846ED"/>
    <w:rsid w:val="00E863D5"/>
    <w:rsid w:val="00E87034"/>
    <w:rsid w:val="00E87058"/>
    <w:rsid w:val="00E910AF"/>
    <w:rsid w:val="00E918FE"/>
    <w:rsid w:val="00E93352"/>
    <w:rsid w:val="00E936BB"/>
    <w:rsid w:val="00E942F6"/>
    <w:rsid w:val="00E947EB"/>
    <w:rsid w:val="00E949F7"/>
    <w:rsid w:val="00E96EEC"/>
    <w:rsid w:val="00E96F3A"/>
    <w:rsid w:val="00E9712C"/>
    <w:rsid w:val="00E97684"/>
    <w:rsid w:val="00EA1602"/>
    <w:rsid w:val="00EA2091"/>
    <w:rsid w:val="00EA417B"/>
    <w:rsid w:val="00EA6C47"/>
    <w:rsid w:val="00EA74DC"/>
    <w:rsid w:val="00EB4600"/>
    <w:rsid w:val="00EB6F83"/>
    <w:rsid w:val="00EC02ED"/>
    <w:rsid w:val="00EC0837"/>
    <w:rsid w:val="00EC182B"/>
    <w:rsid w:val="00EC2E74"/>
    <w:rsid w:val="00EC3796"/>
    <w:rsid w:val="00EC5378"/>
    <w:rsid w:val="00EC553C"/>
    <w:rsid w:val="00EC60B7"/>
    <w:rsid w:val="00EC6498"/>
    <w:rsid w:val="00ED1692"/>
    <w:rsid w:val="00ED1C58"/>
    <w:rsid w:val="00ED364C"/>
    <w:rsid w:val="00ED3FA1"/>
    <w:rsid w:val="00ED6251"/>
    <w:rsid w:val="00ED79D2"/>
    <w:rsid w:val="00EE000C"/>
    <w:rsid w:val="00EE0D0A"/>
    <w:rsid w:val="00EE248F"/>
    <w:rsid w:val="00EE250B"/>
    <w:rsid w:val="00EE380B"/>
    <w:rsid w:val="00EE38C6"/>
    <w:rsid w:val="00EE3A73"/>
    <w:rsid w:val="00EE4A06"/>
    <w:rsid w:val="00EE5B81"/>
    <w:rsid w:val="00EE7012"/>
    <w:rsid w:val="00EE749E"/>
    <w:rsid w:val="00EE7DF7"/>
    <w:rsid w:val="00EF0AD8"/>
    <w:rsid w:val="00EF1FA1"/>
    <w:rsid w:val="00EF4A5B"/>
    <w:rsid w:val="00EF5BC5"/>
    <w:rsid w:val="00EF63C5"/>
    <w:rsid w:val="00EF68FC"/>
    <w:rsid w:val="00EF71DC"/>
    <w:rsid w:val="00EF7337"/>
    <w:rsid w:val="00EF795F"/>
    <w:rsid w:val="00F00711"/>
    <w:rsid w:val="00F0141D"/>
    <w:rsid w:val="00F018C9"/>
    <w:rsid w:val="00F01CB3"/>
    <w:rsid w:val="00F027DA"/>
    <w:rsid w:val="00F03FD2"/>
    <w:rsid w:val="00F04686"/>
    <w:rsid w:val="00F049D8"/>
    <w:rsid w:val="00F06D4E"/>
    <w:rsid w:val="00F06F7E"/>
    <w:rsid w:val="00F10668"/>
    <w:rsid w:val="00F10B18"/>
    <w:rsid w:val="00F114B5"/>
    <w:rsid w:val="00F12346"/>
    <w:rsid w:val="00F128AE"/>
    <w:rsid w:val="00F13A7B"/>
    <w:rsid w:val="00F16816"/>
    <w:rsid w:val="00F222DF"/>
    <w:rsid w:val="00F2583E"/>
    <w:rsid w:val="00F25A2E"/>
    <w:rsid w:val="00F275FB"/>
    <w:rsid w:val="00F27985"/>
    <w:rsid w:val="00F3136F"/>
    <w:rsid w:val="00F32BFA"/>
    <w:rsid w:val="00F32CB6"/>
    <w:rsid w:val="00F33BC2"/>
    <w:rsid w:val="00F34297"/>
    <w:rsid w:val="00F34592"/>
    <w:rsid w:val="00F35394"/>
    <w:rsid w:val="00F35EE6"/>
    <w:rsid w:val="00F365ED"/>
    <w:rsid w:val="00F4023A"/>
    <w:rsid w:val="00F403D1"/>
    <w:rsid w:val="00F40C5D"/>
    <w:rsid w:val="00F41294"/>
    <w:rsid w:val="00F4168E"/>
    <w:rsid w:val="00F50A1D"/>
    <w:rsid w:val="00F50E37"/>
    <w:rsid w:val="00F51396"/>
    <w:rsid w:val="00F51A86"/>
    <w:rsid w:val="00F51AA3"/>
    <w:rsid w:val="00F545A5"/>
    <w:rsid w:val="00F546B3"/>
    <w:rsid w:val="00F55B67"/>
    <w:rsid w:val="00F56135"/>
    <w:rsid w:val="00F56B16"/>
    <w:rsid w:val="00F576EB"/>
    <w:rsid w:val="00F611A6"/>
    <w:rsid w:val="00F6302F"/>
    <w:rsid w:val="00F65841"/>
    <w:rsid w:val="00F66758"/>
    <w:rsid w:val="00F66FAD"/>
    <w:rsid w:val="00F72DE0"/>
    <w:rsid w:val="00F74623"/>
    <w:rsid w:val="00F75A7F"/>
    <w:rsid w:val="00F76992"/>
    <w:rsid w:val="00F7728F"/>
    <w:rsid w:val="00F80865"/>
    <w:rsid w:val="00F81CBB"/>
    <w:rsid w:val="00F81EAD"/>
    <w:rsid w:val="00F83D22"/>
    <w:rsid w:val="00F84B21"/>
    <w:rsid w:val="00F856D4"/>
    <w:rsid w:val="00F85EBF"/>
    <w:rsid w:val="00F905B6"/>
    <w:rsid w:val="00F90F62"/>
    <w:rsid w:val="00F91C34"/>
    <w:rsid w:val="00F94B10"/>
    <w:rsid w:val="00F94D56"/>
    <w:rsid w:val="00F9590B"/>
    <w:rsid w:val="00FA0039"/>
    <w:rsid w:val="00FA444B"/>
    <w:rsid w:val="00FA4A81"/>
    <w:rsid w:val="00FA53A1"/>
    <w:rsid w:val="00FA69D9"/>
    <w:rsid w:val="00FA76DE"/>
    <w:rsid w:val="00FB04F2"/>
    <w:rsid w:val="00FB0867"/>
    <w:rsid w:val="00FB21AD"/>
    <w:rsid w:val="00FB2E5B"/>
    <w:rsid w:val="00FB3504"/>
    <w:rsid w:val="00FB35B1"/>
    <w:rsid w:val="00FB390C"/>
    <w:rsid w:val="00FB6603"/>
    <w:rsid w:val="00FB664F"/>
    <w:rsid w:val="00FB6DED"/>
    <w:rsid w:val="00FC0E34"/>
    <w:rsid w:val="00FC48E1"/>
    <w:rsid w:val="00FC4B71"/>
    <w:rsid w:val="00FC7775"/>
    <w:rsid w:val="00FD03D1"/>
    <w:rsid w:val="00FD050B"/>
    <w:rsid w:val="00FD1EAE"/>
    <w:rsid w:val="00FD1EC4"/>
    <w:rsid w:val="00FD2743"/>
    <w:rsid w:val="00FD5B69"/>
    <w:rsid w:val="00FD7573"/>
    <w:rsid w:val="00FD75EE"/>
    <w:rsid w:val="00FD793C"/>
    <w:rsid w:val="00FE0709"/>
    <w:rsid w:val="00FE3A97"/>
    <w:rsid w:val="00FE489B"/>
    <w:rsid w:val="00FE490F"/>
    <w:rsid w:val="00FE6083"/>
    <w:rsid w:val="00FE630B"/>
    <w:rsid w:val="00FE6426"/>
    <w:rsid w:val="00FE6E44"/>
    <w:rsid w:val="00FF0E36"/>
    <w:rsid w:val="00FF38DA"/>
    <w:rsid w:val="00FF444E"/>
    <w:rsid w:val="00FF44AC"/>
    <w:rsid w:val="00FF5806"/>
    <w:rsid w:val="00FF73CC"/>
    <w:rsid w:val="00FF768A"/>
    <w:rsid w:val="011A7CF6"/>
    <w:rsid w:val="01225ACC"/>
    <w:rsid w:val="01614DCA"/>
    <w:rsid w:val="016237E0"/>
    <w:rsid w:val="017A70C6"/>
    <w:rsid w:val="01833AD4"/>
    <w:rsid w:val="018B2080"/>
    <w:rsid w:val="018C3B7F"/>
    <w:rsid w:val="01AB150F"/>
    <w:rsid w:val="01BF2330"/>
    <w:rsid w:val="01D854D4"/>
    <w:rsid w:val="01DE7B8F"/>
    <w:rsid w:val="01F46555"/>
    <w:rsid w:val="01FA196E"/>
    <w:rsid w:val="022B367A"/>
    <w:rsid w:val="02332C68"/>
    <w:rsid w:val="02370179"/>
    <w:rsid w:val="023811D5"/>
    <w:rsid w:val="023914D7"/>
    <w:rsid w:val="02453472"/>
    <w:rsid w:val="024C4A32"/>
    <w:rsid w:val="025306FA"/>
    <w:rsid w:val="02691B8D"/>
    <w:rsid w:val="02747952"/>
    <w:rsid w:val="02847322"/>
    <w:rsid w:val="029622D5"/>
    <w:rsid w:val="02A54BE4"/>
    <w:rsid w:val="02A715A7"/>
    <w:rsid w:val="02D96A61"/>
    <w:rsid w:val="02DE5497"/>
    <w:rsid w:val="02E40958"/>
    <w:rsid w:val="02F172C2"/>
    <w:rsid w:val="02F81002"/>
    <w:rsid w:val="030D7275"/>
    <w:rsid w:val="03173D76"/>
    <w:rsid w:val="03213428"/>
    <w:rsid w:val="0327299B"/>
    <w:rsid w:val="03542CA9"/>
    <w:rsid w:val="03551F65"/>
    <w:rsid w:val="03687233"/>
    <w:rsid w:val="038856FD"/>
    <w:rsid w:val="03A21256"/>
    <w:rsid w:val="03B1334B"/>
    <w:rsid w:val="03B571D1"/>
    <w:rsid w:val="03C81AC2"/>
    <w:rsid w:val="03D17ADE"/>
    <w:rsid w:val="03D40D72"/>
    <w:rsid w:val="03D80B70"/>
    <w:rsid w:val="03DC6F24"/>
    <w:rsid w:val="03E30BB8"/>
    <w:rsid w:val="03EA2BAC"/>
    <w:rsid w:val="03EB2FA4"/>
    <w:rsid w:val="03FC2F9C"/>
    <w:rsid w:val="040A2DF3"/>
    <w:rsid w:val="04236F96"/>
    <w:rsid w:val="04284335"/>
    <w:rsid w:val="04382459"/>
    <w:rsid w:val="044001B4"/>
    <w:rsid w:val="046D4CE9"/>
    <w:rsid w:val="04A87C7E"/>
    <w:rsid w:val="04CC12C6"/>
    <w:rsid w:val="04D9565B"/>
    <w:rsid w:val="04EC55E3"/>
    <w:rsid w:val="04F31BF2"/>
    <w:rsid w:val="04FD1E37"/>
    <w:rsid w:val="0501231C"/>
    <w:rsid w:val="05014B0C"/>
    <w:rsid w:val="050232B3"/>
    <w:rsid w:val="050428D3"/>
    <w:rsid w:val="05130969"/>
    <w:rsid w:val="052B4B12"/>
    <w:rsid w:val="05300B9D"/>
    <w:rsid w:val="053F46FA"/>
    <w:rsid w:val="055F0CF0"/>
    <w:rsid w:val="055F0DB0"/>
    <w:rsid w:val="056A7F3A"/>
    <w:rsid w:val="056C2691"/>
    <w:rsid w:val="057C0C26"/>
    <w:rsid w:val="057D1353"/>
    <w:rsid w:val="05A92EF1"/>
    <w:rsid w:val="05B14F65"/>
    <w:rsid w:val="05B91B61"/>
    <w:rsid w:val="05BD7846"/>
    <w:rsid w:val="05DD55A8"/>
    <w:rsid w:val="05EA2DAE"/>
    <w:rsid w:val="05EE04D3"/>
    <w:rsid w:val="0610528E"/>
    <w:rsid w:val="06145B29"/>
    <w:rsid w:val="062618A6"/>
    <w:rsid w:val="062A2481"/>
    <w:rsid w:val="06330F05"/>
    <w:rsid w:val="06345E06"/>
    <w:rsid w:val="06457C0B"/>
    <w:rsid w:val="064B465F"/>
    <w:rsid w:val="06537A71"/>
    <w:rsid w:val="067F1C45"/>
    <w:rsid w:val="06A30FF1"/>
    <w:rsid w:val="06A5668E"/>
    <w:rsid w:val="06AE19D2"/>
    <w:rsid w:val="06B57CA9"/>
    <w:rsid w:val="06B66CEA"/>
    <w:rsid w:val="06B72484"/>
    <w:rsid w:val="06C62289"/>
    <w:rsid w:val="0705629D"/>
    <w:rsid w:val="070E78CC"/>
    <w:rsid w:val="07117EE0"/>
    <w:rsid w:val="071C545C"/>
    <w:rsid w:val="071F5BCD"/>
    <w:rsid w:val="07373B8C"/>
    <w:rsid w:val="0776343F"/>
    <w:rsid w:val="079A0CC6"/>
    <w:rsid w:val="07C93EEE"/>
    <w:rsid w:val="07CB0DF0"/>
    <w:rsid w:val="07EC01AF"/>
    <w:rsid w:val="07F07F77"/>
    <w:rsid w:val="08034CA5"/>
    <w:rsid w:val="080828F2"/>
    <w:rsid w:val="08154A3B"/>
    <w:rsid w:val="08177EB5"/>
    <w:rsid w:val="08434BB6"/>
    <w:rsid w:val="084A0963"/>
    <w:rsid w:val="08505485"/>
    <w:rsid w:val="08624A2B"/>
    <w:rsid w:val="08657DFB"/>
    <w:rsid w:val="086C3764"/>
    <w:rsid w:val="08761B77"/>
    <w:rsid w:val="0877766B"/>
    <w:rsid w:val="08840487"/>
    <w:rsid w:val="088841C0"/>
    <w:rsid w:val="089456FF"/>
    <w:rsid w:val="089805E1"/>
    <w:rsid w:val="08B221B1"/>
    <w:rsid w:val="08BB7199"/>
    <w:rsid w:val="08BE050F"/>
    <w:rsid w:val="08E87304"/>
    <w:rsid w:val="08F84838"/>
    <w:rsid w:val="08FA6FF6"/>
    <w:rsid w:val="094F04FF"/>
    <w:rsid w:val="09666A6C"/>
    <w:rsid w:val="09910EAE"/>
    <w:rsid w:val="09937CF0"/>
    <w:rsid w:val="099F3332"/>
    <w:rsid w:val="09B30A80"/>
    <w:rsid w:val="09BA52CA"/>
    <w:rsid w:val="09CE794D"/>
    <w:rsid w:val="09E664E1"/>
    <w:rsid w:val="09FA344A"/>
    <w:rsid w:val="09FB63EC"/>
    <w:rsid w:val="0A007D06"/>
    <w:rsid w:val="0A2B2011"/>
    <w:rsid w:val="0A310982"/>
    <w:rsid w:val="0A4311CE"/>
    <w:rsid w:val="0A657009"/>
    <w:rsid w:val="0A7B1844"/>
    <w:rsid w:val="0A7E6871"/>
    <w:rsid w:val="0A890D70"/>
    <w:rsid w:val="0A9D1A83"/>
    <w:rsid w:val="0AA37C31"/>
    <w:rsid w:val="0AA925B8"/>
    <w:rsid w:val="0AB21BFD"/>
    <w:rsid w:val="0ABA5161"/>
    <w:rsid w:val="0AD618AC"/>
    <w:rsid w:val="0AE54018"/>
    <w:rsid w:val="0AE748C4"/>
    <w:rsid w:val="0AE91C6C"/>
    <w:rsid w:val="0B1B3B57"/>
    <w:rsid w:val="0B1F59EF"/>
    <w:rsid w:val="0B272940"/>
    <w:rsid w:val="0B276331"/>
    <w:rsid w:val="0B364710"/>
    <w:rsid w:val="0B3777A1"/>
    <w:rsid w:val="0B4644FF"/>
    <w:rsid w:val="0B4A2762"/>
    <w:rsid w:val="0B562944"/>
    <w:rsid w:val="0B602B0D"/>
    <w:rsid w:val="0B615540"/>
    <w:rsid w:val="0B6F0E4D"/>
    <w:rsid w:val="0B711C5A"/>
    <w:rsid w:val="0B7D2D8F"/>
    <w:rsid w:val="0B842C9C"/>
    <w:rsid w:val="0B8B251C"/>
    <w:rsid w:val="0B8C09EE"/>
    <w:rsid w:val="0B924A64"/>
    <w:rsid w:val="0B946D4B"/>
    <w:rsid w:val="0B9D03EF"/>
    <w:rsid w:val="0BA6008E"/>
    <w:rsid w:val="0BA72079"/>
    <w:rsid w:val="0BB36E55"/>
    <w:rsid w:val="0BBB0183"/>
    <w:rsid w:val="0BBE62DE"/>
    <w:rsid w:val="0BC60C83"/>
    <w:rsid w:val="0BCB1ED6"/>
    <w:rsid w:val="0BF51B69"/>
    <w:rsid w:val="0C201B4A"/>
    <w:rsid w:val="0C4151E5"/>
    <w:rsid w:val="0C4B0239"/>
    <w:rsid w:val="0C5728B4"/>
    <w:rsid w:val="0C76609D"/>
    <w:rsid w:val="0C8920D4"/>
    <w:rsid w:val="0C8F4CA0"/>
    <w:rsid w:val="0CA522F8"/>
    <w:rsid w:val="0CAD308C"/>
    <w:rsid w:val="0CB05AAE"/>
    <w:rsid w:val="0CB32C49"/>
    <w:rsid w:val="0CB60894"/>
    <w:rsid w:val="0CB63148"/>
    <w:rsid w:val="0CC366F3"/>
    <w:rsid w:val="0CD919D6"/>
    <w:rsid w:val="0CE16794"/>
    <w:rsid w:val="0CEF4ECB"/>
    <w:rsid w:val="0CF370D9"/>
    <w:rsid w:val="0CF51856"/>
    <w:rsid w:val="0D03267D"/>
    <w:rsid w:val="0D2A0776"/>
    <w:rsid w:val="0D2A2DBE"/>
    <w:rsid w:val="0D355976"/>
    <w:rsid w:val="0D37474F"/>
    <w:rsid w:val="0D402B37"/>
    <w:rsid w:val="0D5A05D1"/>
    <w:rsid w:val="0D5B5B93"/>
    <w:rsid w:val="0D624B7E"/>
    <w:rsid w:val="0D7C70DB"/>
    <w:rsid w:val="0D8D7A79"/>
    <w:rsid w:val="0D8E255E"/>
    <w:rsid w:val="0D9E5F83"/>
    <w:rsid w:val="0DA11453"/>
    <w:rsid w:val="0DA261F1"/>
    <w:rsid w:val="0DAB4B12"/>
    <w:rsid w:val="0DB50483"/>
    <w:rsid w:val="0DC67347"/>
    <w:rsid w:val="0DCD6576"/>
    <w:rsid w:val="0DFD115D"/>
    <w:rsid w:val="0E1F295D"/>
    <w:rsid w:val="0E2D3A70"/>
    <w:rsid w:val="0E6340D7"/>
    <w:rsid w:val="0E6C610A"/>
    <w:rsid w:val="0E897ED7"/>
    <w:rsid w:val="0E8F4578"/>
    <w:rsid w:val="0EA14EF5"/>
    <w:rsid w:val="0EB277BA"/>
    <w:rsid w:val="0EC13254"/>
    <w:rsid w:val="0EC232A8"/>
    <w:rsid w:val="0EC26A7C"/>
    <w:rsid w:val="0ED97EC8"/>
    <w:rsid w:val="0EE75249"/>
    <w:rsid w:val="0EE77ED3"/>
    <w:rsid w:val="0F120C70"/>
    <w:rsid w:val="0F1224D2"/>
    <w:rsid w:val="0F1D5DF7"/>
    <w:rsid w:val="0F3E1D6A"/>
    <w:rsid w:val="0F470775"/>
    <w:rsid w:val="0F4C2E89"/>
    <w:rsid w:val="0F5D7041"/>
    <w:rsid w:val="0F7E239A"/>
    <w:rsid w:val="0FC42596"/>
    <w:rsid w:val="0FD00CC1"/>
    <w:rsid w:val="0FD7413C"/>
    <w:rsid w:val="0FDA06B6"/>
    <w:rsid w:val="0FE6355F"/>
    <w:rsid w:val="0FF9554A"/>
    <w:rsid w:val="0FFD45C5"/>
    <w:rsid w:val="0FFF8A27"/>
    <w:rsid w:val="10187918"/>
    <w:rsid w:val="101C0B76"/>
    <w:rsid w:val="10306311"/>
    <w:rsid w:val="10412399"/>
    <w:rsid w:val="106310A9"/>
    <w:rsid w:val="10645D84"/>
    <w:rsid w:val="10677470"/>
    <w:rsid w:val="1071134E"/>
    <w:rsid w:val="10841B36"/>
    <w:rsid w:val="108C719C"/>
    <w:rsid w:val="10957CC3"/>
    <w:rsid w:val="10A400A2"/>
    <w:rsid w:val="10D2315C"/>
    <w:rsid w:val="10D24B5A"/>
    <w:rsid w:val="10EB2D02"/>
    <w:rsid w:val="10EE31C2"/>
    <w:rsid w:val="10F123AC"/>
    <w:rsid w:val="10F241EC"/>
    <w:rsid w:val="10FF2A33"/>
    <w:rsid w:val="110B5CA5"/>
    <w:rsid w:val="11226A0B"/>
    <w:rsid w:val="112873DF"/>
    <w:rsid w:val="112D0E37"/>
    <w:rsid w:val="113911C8"/>
    <w:rsid w:val="115417FD"/>
    <w:rsid w:val="115F6105"/>
    <w:rsid w:val="117F3ABF"/>
    <w:rsid w:val="1191013F"/>
    <w:rsid w:val="11994B4F"/>
    <w:rsid w:val="11D21381"/>
    <w:rsid w:val="11DE076B"/>
    <w:rsid w:val="11F47368"/>
    <w:rsid w:val="121138D4"/>
    <w:rsid w:val="12207747"/>
    <w:rsid w:val="122B14ED"/>
    <w:rsid w:val="123529A8"/>
    <w:rsid w:val="126D6659"/>
    <w:rsid w:val="127D604C"/>
    <w:rsid w:val="12F55008"/>
    <w:rsid w:val="13253B79"/>
    <w:rsid w:val="13272E51"/>
    <w:rsid w:val="134D62E0"/>
    <w:rsid w:val="13505E85"/>
    <w:rsid w:val="135B64E9"/>
    <w:rsid w:val="13713466"/>
    <w:rsid w:val="1373180F"/>
    <w:rsid w:val="13890D35"/>
    <w:rsid w:val="138B13FD"/>
    <w:rsid w:val="138F1752"/>
    <w:rsid w:val="13D21815"/>
    <w:rsid w:val="13D262A2"/>
    <w:rsid w:val="13E47C8E"/>
    <w:rsid w:val="13EA3C63"/>
    <w:rsid w:val="140A56A4"/>
    <w:rsid w:val="1415641C"/>
    <w:rsid w:val="14224BFF"/>
    <w:rsid w:val="142F3D77"/>
    <w:rsid w:val="145C55AD"/>
    <w:rsid w:val="146451E3"/>
    <w:rsid w:val="1465082A"/>
    <w:rsid w:val="14693721"/>
    <w:rsid w:val="146B0ED1"/>
    <w:rsid w:val="14891B81"/>
    <w:rsid w:val="149C36BF"/>
    <w:rsid w:val="14A00CC4"/>
    <w:rsid w:val="14A1554B"/>
    <w:rsid w:val="14A214B8"/>
    <w:rsid w:val="14B71AA6"/>
    <w:rsid w:val="14C760EC"/>
    <w:rsid w:val="14D22418"/>
    <w:rsid w:val="14EF71AD"/>
    <w:rsid w:val="14F37293"/>
    <w:rsid w:val="151172D2"/>
    <w:rsid w:val="15127135"/>
    <w:rsid w:val="15422A6F"/>
    <w:rsid w:val="154E75AF"/>
    <w:rsid w:val="155340DD"/>
    <w:rsid w:val="15764D76"/>
    <w:rsid w:val="157F3E6A"/>
    <w:rsid w:val="159309D6"/>
    <w:rsid w:val="15941B06"/>
    <w:rsid w:val="15A33E8E"/>
    <w:rsid w:val="15A56F13"/>
    <w:rsid w:val="15BA4972"/>
    <w:rsid w:val="15BC1A73"/>
    <w:rsid w:val="15D34BBF"/>
    <w:rsid w:val="15E76277"/>
    <w:rsid w:val="15F1026B"/>
    <w:rsid w:val="162B155A"/>
    <w:rsid w:val="16356C73"/>
    <w:rsid w:val="165230E0"/>
    <w:rsid w:val="168072EC"/>
    <w:rsid w:val="16926AE4"/>
    <w:rsid w:val="169E3F66"/>
    <w:rsid w:val="16CE61B3"/>
    <w:rsid w:val="16DD5D49"/>
    <w:rsid w:val="16E04553"/>
    <w:rsid w:val="16EF744D"/>
    <w:rsid w:val="16F13C4C"/>
    <w:rsid w:val="16F57096"/>
    <w:rsid w:val="17040756"/>
    <w:rsid w:val="171C0F9D"/>
    <w:rsid w:val="17287CC9"/>
    <w:rsid w:val="1747381A"/>
    <w:rsid w:val="174A7DB4"/>
    <w:rsid w:val="175151B4"/>
    <w:rsid w:val="17597E6C"/>
    <w:rsid w:val="176C0CEA"/>
    <w:rsid w:val="17713967"/>
    <w:rsid w:val="177464D4"/>
    <w:rsid w:val="17996F67"/>
    <w:rsid w:val="179D2579"/>
    <w:rsid w:val="17A11A44"/>
    <w:rsid w:val="17AC648E"/>
    <w:rsid w:val="17B26A6D"/>
    <w:rsid w:val="17B54622"/>
    <w:rsid w:val="17C75039"/>
    <w:rsid w:val="17EA4BA0"/>
    <w:rsid w:val="17FF03FA"/>
    <w:rsid w:val="1800126D"/>
    <w:rsid w:val="18077190"/>
    <w:rsid w:val="183A5EC3"/>
    <w:rsid w:val="183C46B9"/>
    <w:rsid w:val="183C61D5"/>
    <w:rsid w:val="183F308F"/>
    <w:rsid w:val="184062AD"/>
    <w:rsid w:val="18691753"/>
    <w:rsid w:val="186922CB"/>
    <w:rsid w:val="18845DCF"/>
    <w:rsid w:val="188B00DA"/>
    <w:rsid w:val="18943D36"/>
    <w:rsid w:val="18CC3FCB"/>
    <w:rsid w:val="18D3192D"/>
    <w:rsid w:val="18E4597F"/>
    <w:rsid w:val="18F10A9A"/>
    <w:rsid w:val="190862CD"/>
    <w:rsid w:val="19155836"/>
    <w:rsid w:val="19200C70"/>
    <w:rsid w:val="19432E01"/>
    <w:rsid w:val="19587A77"/>
    <w:rsid w:val="19796B5A"/>
    <w:rsid w:val="198878BE"/>
    <w:rsid w:val="19A04F26"/>
    <w:rsid w:val="19A731EF"/>
    <w:rsid w:val="19C2621A"/>
    <w:rsid w:val="19F4B099"/>
    <w:rsid w:val="1A1B0474"/>
    <w:rsid w:val="1A205724"/>
    <w:rsid w:val="1A425329"/>
    <w:rsid w:val="1A48211B"/>
    <w:rsid w:val="1A550EA2"/>
    <w:rsid w:val="1A881B15"/>
    <w:rsid w:val="1A932015"/>
    <w:rsid w:val="1A9714C3"/>
    <w:rsid w:val="1A9A7B02"/>
    <w:rsid w:val="1ADF7441"/>
    <w:rsid w:val="1AF842D8"/>
    <w:rsid w:val="1AFC4A21"/>
    <w:rsid w:val="1AFE02E4"/>
    <w:rsid w:val="1B043A88"/>
    <w:rsid w:val="1B097BD0"/>
    <w:rsid w:val="1B0C5B7C"/>
    <w:rsid w:val="1B41185C"/>
    <w:rsid w:val="1B717605"/>
    <w:rsid w:val="1B856870"/>
    <w:rsid w:val="1B932115"/>
    <w:rsid w:val="1BA02DB4"/>
    <w:rsid w:val="1BA74828"/>
    <w:rsid w:val="1BC4024C"/>
    <w:rsid w:val="1BE060B8"/>
    <w:rsid w:val="1BFE4ADE"/>
    <w:rsid w:val="1C050F3E"/>
    <w:rsid w:val="1C137125"/>
    <w:rsid w:val="1C193CC8"/>
    <w:rsid w:val="1C3C2E2E"/>
    <w:rsid w:val="1C805BF0"/>
    <w:rsid w:val="1C9876A6"/>
    <w:rsid w:val="1CA8768C"/>
    <w:rsid w:val="1CAC3DAD"/>
    <w:rsid w:val="1CC85D9D"/>
    <w:rsid w:val="1CC961F3"/>
    <w:rsid w:val="1CD644F1"/>
    <w:rsid w:val="1CE3551D"/>
    <w:rsid w:val="1CF1403A"/>
    <w:rsid w:val="1CF65D0C"/>
    <w:rsid w:val="1CFC2819"/>
    <w:rsid w:val="1CFD3D9F"/>
    <w:rsid w:val="1D20198A"/>
    <w:rsid w:val="1D2C2B21"/>
    <w:rsid w:val="1D4E7C38"/>
    <w:rsid w:val="1D58515F"/>
    <w:rsid w:val="1D940F20"/>
    <w:rsid w:val="1D9A5530"/>
    <w:rsid w:val="1DB10B98"/>
    <w:rsid w:val="1DD837E9"/>
    <w:rsid w:val="1DE15DAC"/>
    <w:rsid w:val="1E0F38A9"/>
    <w:rsid w:val="1E0F5701"/>
    <w:rsid w:val="1E433478"/>
    <w:rsid w:val="1E472E2B"/>
    <w:rsid w:val="1E692998"/>
    <w:rsid w:val="1E6A6C43"/>
    <w:rsid w:val="1E7138BE"/>
    <w:rsid w:val="1E7F53E4"/>
    <w:rsid w:val="1E8A37AE"/>
    <w:rsid w:val="1EA15A30"/>
    <w:rsid w:val="1EA64707"/>
    <w:rsid w:val="1EB10321"/>
    <w:rsid w:val="1EBD3B62"/>
    <w:rsid w:val="1ED57085"/>
    <w:rsid w:val="1ED7593D"/>
    <w:rsid w:val="1EE06937"/>
    <w:rsid w:val="1EE749BE"/>
    <w:rsid w:val="1EE80A44"/>
    <w:rsid w:val="1EF6294D"/>
    <w:rsid w:val="1EF730CC"/>
    <w:rsid w:val="1F067018"/>
    <w:rsid w:val="1F0869FC"/>
    <w:rsid w:val="1F0C6C30"/>
    <w:rsid w:val="1F100061"/>
    <w:rsid w:val="1F156822"/>
    <w:rsid w:val="1F3170E7"/>
    <w:rsid w:val="1F4066CF"/>
    <w:rsid w:val="1F42397D"/>
    <w:rsid w:val="1F514F43"/>
    <w:rsid w:val="1F524822"/>
    <w:rsid w:val="1F5C1F7E"/>
    <w:rsid w:val="1F671E53"/>
    <w:rsid w:val="1F8018A3"/>
    <w:rsid w:val="1FAA59AB"/>
    <w:rsid w:val="1FB85BF0"/>
    <w:rsid w:val="1FD249BF"/>
    <w:rsid w:val="1FD87FD0"/>
    <w:rsid w:val="1FDE0C6A"/>
    <w:rsid w:val="1FDF5795"/>
    <w:rsid w:val="1FE0317A"/>
    <w:rsid w:val="1FEC3C1A"/>
    <w:rsid w:val="1FF36888"/>
    <w:rsid w:val="20046793"/>
    <w:rsid w:val="20051657"/>
    <w:rsid w:val="2009394B"/>
    <w:rsid w:val="203829CA"/>
    <w:rsid w:val="203C4F01"/>
    <w:rsid w:val="20506091"/>
    <w:rsid w:val="205C6909"/>
    <w:rsid w:val="20741AEB"/>
    <w:rsid w:val="20861B2F"/>
    <w:rsid w:val="209D061E"/>
    <w:rsid w:val="20A12B18"/>
    <w:rsid w:val="20A87087"/>
    <w:rsid w:val="20CF4DA1"/>
    <w:rsid w:val="20D8501F"/>
    <w:rsid w:val="20E065B0"/>
    <w:rsid w:val="210D14B3"/>
    <w:rsid w:val="211A3AEB"/>
    <w:rsid w:val="2139166E"/>
    <w:rsid w:val="214D0CE4"/>
    <w:rsid w:val="21592C1E"/>
    <w:rsid w:val="217A7823"/>
    <w:rsid w:val="217B1B76"/>
    <w:rsid w:val="21A043A8"/>
    <w:rsid w:val="21A267F5"/>
    <w:rsid w:val="21A671EB"/>
    <w:rsid w:val="21F91840"/>
    <w:rsid w:val="22227435"/>
    <w:rsid w:val="22340887"/>
    <w:rsid w:val="223A49A2"/>
    <w:rsid w:val="2250138D"/>
    <w:rsid w:val="22543CAD"/>
    <w:rsid w:val="22544B91"/>
    <w:rsid w:val="225C4440"/>
    <w:rsid w:val="2271077B"/>
    <w:rsid w:val="2286599C"/>
    <w:rsid w:val="228D3FB0"/>
    <w:rsid w:val="22A200B4"/>
    <w:rsid w:val="22A57D8D"/>
    <w:rsid w:val="22C020E4"/>
    <w:rsid w:val="22C629BA"/>
    <w:rsid w:val="22D4018E"/>
    <w:rsid w:val="22ED5F2C"/>
    <w:rsid w:val="22F566F7"/>
    <w:rsid w:val="230C3126"/>
    <w:rsid w:val="231234A3"/>
    <w:rsid w:val="231B5BB8"/>
    <w:rsid w:val="23272066"/>
    <w:rsid w:val="232F5A75"/>
    <w:rsid w:val="235D040D"/>
    <w:rsid w:val="236E4FD4"/>
    <w:rsid w:val="237460EA"/>
    <w:rsid w:val="237C716E"/>
    <w:rsid w:val="23872948"/>
    <w:rsid w:val="239D590C"/>
    <w:rsid w:val="23B46908"/>
    <w:rsid w:val="23BB0C15"/>
    <w:rsid w:val="23BB2BED"/>
    <w:rsid w:val="23BD328B"/>
    <w:rsid w:val="23DA0791"/>
    <w:rsid w:val="2403426E"/>
    <w:rsid w:val="242E5728"/>
    <w:rsid w:val="24590108"/>
    <w:rsid w:val="248652B3"/>
    <w:rsid w:val="24A32B02"/>
    <w:rsid w:val="24B24A65"/>
    <w:rsid w:val="24B95BD5"/>
    <w:rsid w:val="24BC49F5"/>
    <w:rsid w:val="24C40CAC"/>
    <w:rsid w:val="24CD55A4"/>
    <w:rsid w:val="24EE41B8"/>
    <w:rsid w:val="24F12227"/>
    <w:rsid w:val="24F66F2D"/>
    <w:rsid w:val="24F814EF"/>
    <w:rsid w:val="24FB5E6C"/>
    <w:rsid w:val="250E6911"/>
    <w:rsid w:val="25600C96"/>
    <w:rsid w:val="25674161"/>
    <w:rsid w:val="256A1564"/>
    <w:rsid w:val="256C20DF"/>
    <w:rsid w:val="25776B4E"/>
    <w:rsid w:val="258948AB"/>
    <w:rsid w:val="2591170A"/>
    <w:rsid w:val="259A62A2"/>
    <w:rsid w:val="25C32B7E"/>
    <w:rsid w:val="25C74243"/>
    <w:rsid w:val="26005A52"/>
    <w:rsid w:val="260B7ED0"/>
    <w:rsid w:val="261E1681"/>
    <w:rsid w:val="26210873"/>
    <w:rsid w:val="26274DA4"/>
    <w:rsid w:val="262A19C5"/>
    <w:rsid w:val="26303C8C"/>
    <w:rsid w:val="263B34F5"/>
    <w:rsid w:val="263E6E6E"/>
    <w:rsid w:val="265528E9"/>
    <w:rsid w:val="2660675A"/>
    <w:rsid w:val="26795F61"/>
    <w:rsid w:val="268475B0"/>
    <w:rsid w:val="2695773D"/>
    <w:rsid w:val="26AA41CA"/>
    <w:rsid w:val="26AC6BC8"/>
    <w:rsid w:val="26BA0BF2"/>
    <w:rsid w:val="26D7436F"/>
    <w:rsid w:val="26DC2C60"/>
    <w:rsid w:val="26E36A4A"/>
    <w:rsid w:val="26F83F06"/>
    <w:rsid w:val="270A7DB1"/>
    <w:rsid w:val="271468F0"/>
    <w:rsid w:val="27180C68"/>
    <w:rsid w:val="272C488B"/>
    <w:rsid w:val="273144DF"/>
    <w:rsid w:val="273E4CE6"/>
    <w:rsid w:val="274E3EAC"/>
    <w:rsid w:val="279C6759"/>
    <w:rsid w:val="279F597F"/>
    <w:rsid w:val="27A70E10"/>
    <w:rsid w:val="27B32282"/>
    <w:rsid w:val="27DFEFE7"/>
    <w:rsid w:val="27E0642C"/>
    <w:rsid w:val="27E37AE0"/>
    <w:rsid w:val="27ED3F70"/>
    <w:rsid w:val="27F35F86"/>
    <w:rsid w:val="27F531B9"/>
    <w:rsid w:val="27F8720B"/>
    <w:rsid w:val="280617E0"/>
    <w:rsid w:val="280C13A0"/>
    <w:rsid w:val="28134D58"/>
    <w:rsid w:val="282577AF"/>
    <w:rsid w:val="28352C81"/>
    <w:rsid w:val="283D4E52"/>
    <w:rsid w:val="28407E7D"/>
    <w:rsid w:val="28564CD7"/>
    <w:rsid w:val="28565B4A"/>
    <w:rsid w:val="287A2179"/>
    <w:rsid w:val="289874E5"/>
    <w:rsid w:val="28A651F3"/>
    <w:rsid w:val="28AB7E12"/>
    <w:rsid w:val="28BF1914"/>
    <w:rsid w:val="28CD5DF4"/>
    <w:rsid w:val="28F352BB"/>
    <w:rsid w:val="291A60BF"/>
    <w:rsid w:val="29235F5A"/>
    <w:rsid w:val="29275F1E"/>
    <w:rsid w:val="294C1DB7"/>
    <w:rsid w:val="295D1A60"/>
    <w:rsid w:val="298B6BB5"/>
    <w:rsid w:val="29911E99"/>
    <w:rsid w:val="29A67151"/>
    <w:rsid w:val="29B92EEC"/>
    <w:rsid w:val="29C371E2"/>
    <w:rsid w:val="29EE7F44"/>
    <w:rsid w:val="2A035E49"/>
    <w:rsid w:val="2A103160"/>
    <w:rsid w:val="2A5A3195"/>
    <w:rsid w:val="2A6137C1"/>
    <w:rsid w:val="2A685EFA"/>
    <w:rsid w:val="2A6B6E73"/>
    <w:rsid w:val="2A6E1E36"/>
    <w:rsid w:val="2A747C7B"/>
    <w:rsid w:val="2A7865BD"/>
    <w:rsid w:val="2AA51C7D"/>
    <w:rsid w:val="2AC01C93"/>
    <w:rsid w:val="2ADC4CA3"/>
    <w:rsid w:val="2AE84792"/>
    <w:rsid w:val="2B04430B"/>
    <w:rsid w:val="2B17315A"/>
    <w:rsid w:val="2B2552AF"/>
    <w:rsid w:val="2B264654"/>
    <w:rsid w:val="2B461526"/>
    <w:rsid w:val="2B5BE832"/>
    <w:rsid w:val="2B8B4EC6"/>
    <w:rsid w:val="2B9035BD"/>
    <w:rsid w:val="2BC4602A"/>
    <w:rsid w:val="2BDF6075"/>
    <w:rsid w:val="2BF047E3"/>
    <w:rsid w:val="2BFD6D9D"/>
    <w:rsid w:val="2C1C2401"/>
    <w:rsid w:val="2C1C2E4B"/>
    <w:rsid w:val="2C252CBD"/>
    <w:rsid w:val="2C4A18E4"/>
    <w:rsid w:val="2C5863F2"/>
    <w:rsid w:val="2C64460B"/>
    <w:rsid w:val="2C6C5FEC"/>
    <w:rsid w:val="2C700241"/>
    <w:rsid w:val="2C7216D6"/>
    <w:rsid w:val="2C72560A"/>
    <w:rsid w:val="2C75716B"/>
    <w:rsid w:val="2C8655FE"/>
    <w:rsid w:val="2C94593A"/>
    <w:rsid w:val="2C967D41"/>
    <w:rsid w:val="2CDA121D"/>
    <w:rsid w:val="2CDD3706"/>
    <w:rsid w:val="2CE5582D"/>
    <w:rsid w:val="2CFF5211"/>
    <w:rsid w:val="2D092960"/>
    <w:rsid w:val="2D21666E"/>
    <w:rsid w:val="2D30379B"/>
    <w:rsid w:val="2D3602D2"/>
    <w:rsid w:val="2D384472"/>
    <w:rsid w:val="2D3B735F"/>
    <w:rsid w:val="2D454625"/>
    <w:rsid w:val="2D482D29"/>
    <w:rsid w:val="2D7F0598"/>
    <w:rsid w:val="2D811AD1"/>
    <w:rsid w:val="2DCA06D9"/>
    <w:rsid w:val="2DE7356E"/>
    <w:rsid w:val="2DF875E0"/>
    <w:rsid w:val="2E0216DD"/>
    <w:rsid w:val="2E072271"/>
    <w:rsid w:val="2E0B311C"/>
    <w:rsid w:val="2E226C11"/>
    <w:rsid w:val="2E417D6E"/>
    <w:rsid w:val="2E524924"/>
    <w:rsid w:val="2E557296"/>
    <w:rsid w:val="2E7152FE"/>
    <w:rsid w:val="2E7441B4"/>
    <w:rsid w:val="2E7D4963"/>
    <w:rsid w:val="2E813A2E"/>
    <w:rsid w:val="2E894691"/>
    <w:rsid w:val="2E8B4960"/>
    <w:rsid w:val="2EA57C41"/>
    <w:rsid w:val="2EAC0315"/>
    <w:rsid w:val="2ECE210B"/>
    <w:rsid w:val="2ECE7E87"/>
    <w:rsid w:val="2EF20BD3"/>
    <w:rsid w:val="2EFE3D91"/>
    <w:rsid w:val="2F0D48F9"/>
    <w:rsid w:val="2F126C4A"/>
    <w:rsid w:val="2F1C73BE"/>
    <w:rsid w:val="2F27479D"/>
    <w:rsid w:val="2F2A37B7"/>
    <w:rsid w:val="2F2B1E1F"/>
    <w:rsid w:val="2F3E052A"/>
    <w:rsid w:val="2F470BDC"/>
    <w:rsid w:val="2F4F51AE"/>
    <w:rsid w:val="2F620AC7"/>
    <w:rsid w:val="2F6714F7"/>
    <w:rsid w:val="2F7700FB"/>
    <w:rsid w:val="2F7B4750"/>
    <w:rsid w:val="2F8D425C"/>
    <w:rsid w:val="2FB14999"/>
    <w:rsid w:val="2FD163A1"/>
    <w:rsid w:val="2FDB63A1"/>
    <w:rsid w:val="2FE6064F"/>
    <w:rsid w:val="30084E18"/>
    <w:rsid w:val="30191A45"/>
    <w:rsid w:val="3041572B"/>
    <w:rsid w:val="30557114"/>
    <w:rsid w:val="30627CA4"/>
    <w:rsid w:val="306363C0"/>
    <w:rsid w:val="306623C8"/>
    <w:rsid w:val="307D0C69"/>
    <w:rsid w:val="30A52069"/>
    <w:rsid w:val="30B354B5"/>
    <w:rsid w:val="31081D65"/>
    <w:rsid w:val="31176782"/>
    <w:rsid w:val="31213AFB"/>
    <w:rsid w:val="312422AF"/>
    <w:rsid w:val="31266D8E"/>
    <w:rsid w:val="31361310"/>
    <w:rsid w:val="31466A9F"/>
    <w:rsid w:val="314C1A8E"/>
    <w:rsid w:val="31526EE0"/>
    <w:rsid w:val="31546EB0"/>
    <w:rsid w:val="316C164E"/>
    <w:rsid w:val="31780A4F"/>
    <w:rsid w:val="31896605"/>
    <w:rsid w:val="318A5D41"/>
    <w:rsid w:val="31AD0696"/>
    <w:rsid w:val="31B256B5"/>
    <w:rsid w:val="31C92359"/>
    <w:rsid w:val="31D74167"/>
    <w:rsid w:val="31ED057F"/>
    <w:rsid w:val="31ED2DDE"/>
    <w:rsid w:val="31F75415"/>
    <w:rsid w:val="3211373A"/>
    <w:rsid w:val="32137DBE"/>
    <w:rsid w:val="322E3A8F"/>
    <w:rsid w:val="323F4534"/>
    <w:rsid w:val="324021B2"/>
    <w:rsid w:val="3270176F"/>
    <w:rsid w:val="327B289B"/>
    <w:rsid w:val="327D5634"/>
    <w:rsid w:val="329F017C"/>
    <w:rsid w:val="32A04A54"/>
    <w:rsid w:val="32A33DE8"/>
    <w:rsid w:val="32A52A2E"/>
    <w:rsid w:val="32A63F07"/>
    <w:rsid w:val="32A82CA9"/>
    <w:rsid w:val="32AA3DF2"/>
    <w:rsid w:val="32B85675"/>
    <w:rsid w:val="32BF7D4F"/>
    <w:rsid w:val="32C43227"/>
    <w:rsid w:val="32C5799A"/>
    <w:rsid w:val="32DF6690"/>
    <w:rsid w:val="32E14FA2"/>
    <w:rsid w:val="32EF6ADA"/>
    <w:rsid w:val="33037DC6"/>
    <w:rsid w:val="33050F63"/>
    <w:rsid w:val="33216C32"/>
    <w:rsid w:val="332211D9"/>
    <w:rsid w:val="33417870"/>
    <w:rsid w:val="33426871"/>
    <w:rsid w:val="33506EB8"/>
    <w:rsid w:val="33641AA1"/>
    <w:rsid w:val="33695ECB"/>
    <w:rsid w:val="33773282"/>
    <w:rsid w:val="337F7C30"/>
    <w:rsid w:val="33AD1B81"/>
    <w:rsid w:val="33B40601"/>
    <w:rsid w:val="33BD099C"/>
    <w:rsid w:val="33D32773"/>
    <w:rsid w:val="33D82ED9"/>
    <w:rsid w:val="33DF298B"/>
    <w:rsid w:val="33EF0017"/>
    <w:rsid w:val="33EF2B13"/>
    <w:rsid w:val="33F56D76"/>
    <w:rsid w:val="33FF31F0"/>
    <w:rsid w:val="340E6EF3"/>
    <w:rsid w:val="34111750"/>
    <w:rsid w:val="345F4B82"/>
    <w:rsid w:val="348F1207"/>
    <w:rsid w:val="34DC659D"/>
    <w:rsid w:val="34EF07CD"/>
    <w:rsid w:val="34FC1216"/>
    <w:rsid w:val="350470D4"/>
    <w:rsid w:val="352441C5"/>
    <w:rsid w:val="352C5E00"/>
    <w:rsid w:val="353C4FEF"/>
    <w:rsid w:val="35606362"/>
    <w:rsid w:val="358503E2"/>
    <w:rsid w:val="35893EBE"/>
    <w:rsid w:val="358A6D2D"/>
    <w:rsid w:val="35983856"/>
    <w:rsid w:val="359D454F"/>
    <w:rsid w:val="359D73E1"/>
    <w:rsid w:val="35A42883"/>
    <w:rsid w:val="35C84E74"/>
    <w:rsid w:val="35CB3F79"/>
    <w:rsid w:val="35DC6EC8"/>
    <w:rsid w:val="35EF650D"/>
    <w:rsid w:val="3606154E"/>
    <w:rsid w:val="360F1D32"/>
    <w:rsid w:val="361B233C"/>
    <w:rsid w:val="3629408C"/>
    <w:rsid w:val="362C7C09"/>
    <w:rsid w:val="362F44F2"/>
    <w:rsid w:val="36322EE7"/>
    <w:rsid w:val="36353B94"/>
    <w:rsid w:val="36356CD7"/>
    <w:rsid w:val="364669E1"/>
    <w:rsid w:val="364726C4"/>
    <w:rsid w:val="368472D1"/>
    <w:rsid w:val="368C671B"/>
    <w:rsid w:val="36A24E3B"/>
    <w:rsid w:val="36A27662"/>
    <w:rsid w:val="36BD1796"/>
    <w:rsid w:val="36D056CA"/>
    <w:rsid w:val="36E70CA0"/>
    <w:rsid w:val="37191290"/>
    <w:rsid w:val="3745072D"/>
    <w:rsid w:val="375C6932"/>
    <w:rsid w:val="377034C6"/>
    <w:rsid w:val="37722924"/>
    <w:rsid w:val="377A4D96"/>
    <w:rsid w:val="377C17AF"/>
    <w:rsid w:val="378D1466"/>
    <w:rsid w:val="37974311"/>
    <w:rsid w:val="379F365F"/>
    <w:rsid w:val="37B33807"/>
    <w:rsid w:val="37E23EC8"/>
    <w:rsid w:val="380855AC"/>
    <w:rsid w:val="384078B5"/>
    <w:rsid w:val="384357E6"/>
    <w:rsid w:val="38445A8B"/>
    <w:rsid w:val="384A133C"/>
    <w:rsid w:val="384C42A3"/>
    <w:rsid w:val="384F6CB3"/>
    <w:rsid w:val="386800A1"/>
    <w:rsid w:val="387A7E6B"/>
    <w:rsid w:val="38BF6685"/>
    <w:rsid w:val="38C62DDF"/>
    <w:rsid w:val="38C972AB"/>
    <w:rsid w:val="390B6846"/>
    <w:rsid w:val="39242402"/>
    <w:rsid w:val="393836C2"/>
    <w:rsid w:val="394E618F"/>
    <w:rsid w:val="39700CDA"/>
    <w:rsid w:val="397818FE"/>
    <w:rsid w:val="39822A4D"/>
    <w:rsid w:val="39861C3D"/>
    <w:rsid w:val="39994E27"/>
    <w:rsid w:val="39B7045C"/>
    <w:rsid w:val="39BE43C6"/>
    <w:rsid w:val="39D23F9C"/>
    <w:rsid w:val="39E07261"/>
    <w:rsid w:val="39E75C0A"/>
    <w:rsid w:val="39E911FD"/>
    <w:rsid w:val="3A084E46"/>
    <w:rsid w:val="3A2D236F"/>
    <w:rsid w:val="3A434571"/>
    <w:rsid w:val="3A5E63D8"/>
    <w:rsid w:val="3A65412D"/>
    <w:rsid w:val="3A74597F"/>
    <w:rsid w:val="3A8D3AD4"/>
    <w:rsid w:val="3A910DEE"/>
    <w:rsid w:val="3A924467"/>
    <w:rsid w:val="3AA7170F"/>
    <w:rsid w:val="3AD46380"/>
    <w:rsid w:val="3AD85320"/>
    <w:rsid w:val="3AF36FDD"/>
    <w:rsid w:val="3B0D1A70"/>
    <w:rsid w:val="3B196AB4"/>
    <w:rsid w:val="3B205B5F"/>
    <w:rsid w:val="3B2A34AD"/>
    <w:rsid w:val="3B5177CD"/>
    <w:rsid w:val="3B674DB0"/>
    <w:rsid w:val="3B96EA0D"/>
    <w:rsid w:val="3BB67C88"/>
    <w:rsid w:val="3BBF0497"/>
    <w:rsid w:val="3BD01A0E"/>
    <w:rsid w:val="3BD95361"/>
    <w:rsid w:val="3C07138A"/>
    <w:rsid w:val="3C5A0572"/>
    <w:rsid w:val="3C6C6C15"/>
    <w:rsid w:val="3C7761E9"/>
    <w:rsid w:val="3C8162A3"/>
    <w:rsid w:val="3C8620E9"/>
    <w:rsid w:val="3CA14DA4"/>
    <w:rsid w:val="3CAF2FF3"/>
    <w:rsid w:val="3CB2482C"/>
    <w:rsid w:val="3CB81913"/>
    <w:rsid w:val="3CBC1DE0"/>
    <w:rsid w:val="3CC13C8E"/>
    <w:rsid w:val="3CC811DB"/>
    <w:rsid w:val="3CE83517"/>
    <w:rsid w:val="3CEA3BA0"/>
    <w:rsid w:val="3CFD28B7"/>
    <w:rsid w:val="3D1B2EE4"/>
    <w:rsid w:val="3D212181"/>
    <w:rsid w:val="3D22234D"/>
    <w:rsid w:val="3D322048"/>
    <w:rsid w:val="3D3E7787"/>
    <w:rsid w:val="3D524F3A"/>
    <w:rsid w:val="3D577FDC"/>
    <w:rsid w:val="3D5E1EE3"/>
    <w:rsid w:val="3D7844A2"/>
    <w:rsid w:val="3D855352"/>
    <w:rsid w:val="3D95062A"/>
    <w:rsid w:val="3DA5789E"/>
    <w:rsid w:val="3DB563EE"/>
    <w:rsid w:val="3DEF22F9"/>
    <w:rsid w:val="3E145BF1"/>
    <w:rsid w:val="3E3B1E01"/>
    <w:rsid w:val="3E541784"/>
    <w:rsid w:val="3E77680E"/>
    <w:rsid w:val="3E7A3030"/>
    <w:rsid w:val="3EB00522"/>
    <w:rsid w:val="3EC20A92"/>
    <w:rsid w:val="3EF04AEF"/>
    <w:rsid w:val="3EFD65EB"/>
    <w:rsid w:val="3F13026F"/>
    <w:rsid w:val="3F412039"/>
    <w:rsid w:val="3F4F6B50"/>
    <w:rsid w:val="3F537DA1"/>
    <w:rsid w:val="3F5FFA5E"/>
    <w:rsid w:val="3F66207D"/>
    <w:rsid w:val="3F77315B"/>
    <w:rsid w:val="3F77394F"/>
    <w:rsid w:val="3F901E52"/>
    <w:rsid w:val="3F984E02"/>
    <w:rsid w:val="3F9D1F53"/>
    <w:rsid w:val="3F9D2416"/>
    <w:rsid w:val="3FA30142"/>
    <w:rsid w:val="3FA343A5"/>
    <w:rsid w:val="3FE00637"/>
    <w:rsid w:val="3FE32092"/>
    <w:rsid w:val="3FE91ED8"/>
    <w:rsid w:val="3FED03B6"/>
    <w:rsid w:val="3FEE0D6E"/>
    <w:rsid w:val="3FFF5E88"/>
    <w:rsid w:val="3FFFFFCA"/>
    <w:rsid w:val="400800FA"/>
    <w:rsid w:val="400B40CC"/>
    <w:rsid w:val="40297A82"/>
    <w:rsid w:val="402C372E"/>
    <w:rsid w:val="402D1E13"/>
    <w:rsid w:val="403B6923"/>
    <w:rsid w:val="403C51A6"/>
    <w:rsid w:val="40580EBF"/>
    <w:rsid w:val="406A6D1A"/>
    <w:rsid w:val="406F36A1"/>
    <w:rsid w:val="407836FF"/>
    <w:rsid w:val="408E1562"/>
    <w:rsid w:val="409B104A"/>
    <w:rsid w:val="409B34B3"/>
    <w:rsid w:val="409D72F6"/>
    <w:rsid w:val="409E59F1"/>
    <w:rsid w:val="40C97B40"/>
    <w:rsid w:val="40CF38A1"/>
    <w:rsid w:val="40EA1D95"/>
    <w:rsid w:val="40F13CAA"/>
    <w:rsid w:val="41035F9D"/>
    <w:rsid w:val="410A5E5F"/>
    <w:rsid w:val="410B2FEA"/>
    <w:rsid w:val="410F698D"/>
    <w:rsid w:val="411A7E34"/>
    <w:rsid w:val="419B4B6E"/>
    <w:rsid w:val="41B151CA"/>
    <w:rsid w:val="41BE4B8C"/>
    <w:rsid w:val="41CB644D"/>
    <w:rsid w:val="41DE00A0"/>
    <w:rsid w:val="41EF052C"/>
    <w:rsid w:val="41F36163"/>
    <w:rsid w:val="42091339"/>
    <w:rsid w:val="420D0031"/>
    <w:rsid w:val="42114AC9"/>
    <w:rsid w:val="42120779"/>
    <w:rsid w:val="421E2B2C"/>
    <w:rsid w:val="42226B4B"/>
    <w:rsid w:val="42296E2A"/>
    <w:rsid w:val="423256E7"/>
    <w:rsid w:val="423E5DA0"/>
    <w:rsid w:val="42416735"/>
    <w:rsid w:val="42587CD0"/>
    <w:rsid w:val="425E5FA0"/>
    <w:rsid w:val="428E1D39"/>
    <w:rsid w:val="428E74F2"/>
    <w:rsid w:val="429775E5"/>
    <w:rsid w:val="42AA3654"/>
    <w:rsid w:val="42B453EE"/>
    <w:rsid w:val="42C237E5"/>
    <w:rsid w:val="42C47935"/>
    <w:rsid w:val="42D134A3"/>
    <w:rsid w:val="42D64736"/>
    <w:rsid w:val="42DC2AC7"/>
    <w:rsid w:val="42E4259C"/>
    <w:rsid w:val="42E5202D"/>
    <w:rsid w:val="42EF4C2D"/>
    <w:rsid w:val="42F80479"/>
    <w:rsid w:val="42F87D5B"/>
    <w:rsid w:val="430C2FDA"/>
    <w:rsid w:val="430C5A42"/>
    <w:rsid w:val="430E0BA3"/>
    <w:rsid w:val="43296B28"/>
    <w:rsid w:val="43321100"/>
    <w:rsid w:val="433F7118"/>
    <w:rsid w:val="434778A7"/>
    <w:rsid w:val="435503A9"/>
    <w:rsid w:val="43602AB1"/>
    <w:rsid w:val="43727F04"/>
    <w:rsid w:val="438F1658"/>
    <w:rsid w:val="43A9765A"/>
    <w:rsid w:val="43C94540"/>
    <w:rsid w:val="43CC17C7"/>
    <w:rsid w:val="43FB3166"/>
    <w:rsid w:val="43FC2AE6"/>
    <w:rsid w:val="44243F0C"/>
    <w:rsid w:val="442D3AAE"/>
    <w:rsid w:val="44444585"/>
    <w:rsid w:val="44505BDA"/>
    <w:rsid w:val="44535D9E"/>
    <w:rsid w:val="445F2776"/>
    <w:rsid w:val="44657C22"/>
    <w:rsid w:val="44847CBB"/>
    <w:rsid w:val="4489287C"/>
    <w:rsid w:val="448D0E3C"/>
    <w:rsid w:val="44A9557D"/>
    <w:rsid w:val="44B0497A"/>
    <w:rsid w:val="44DD1A8B"/>
    <w:rsid w:val="44E02CD8"/>
    <w:rsid w:val="44E35B15"/>
    <w:rsid w:val="44E848A2"/>
    <w:rsid w:val="44F74416"/>
    <w:rsid w:val="44F87726"/>
    <w:rsid w:val="4502758F"/>
    <w:rsid w:val="450D4574"/>
    <w:rsid w:val="4532402A"/>
    <w:rsid w:val="4569189B"/>
    <w:rsid w:val="45891DB5"/>
    <w:rsid w:val="459C04B7"/>
    <w:rsid w:val="459E2803"/>
    <w:rsid w:val="45BF3A01"/>
    <w:rsid w:val="45C36523"/>
    <w:rsid w:val="45C66E60"/>
    <w:rsid w:val="45D84CA8"/>
    <w:rsid w:val="45EC0547"/>
    <w:rsid w:val="45F43D3C"/>
    <w:rsid w:val="46073B8B"/>
    <w:rsid w:val="460B1FB7"/>
    <w:rsid w:val="46305B50"/>
    <w:rsid w:val="463D306D"/>
    <w:rsid w:val="4651427C"/>
    <w:rsid w:val="4662157A"/>
    <w:rsid w:val="466573E6"/>
    <w:rsid w:val="467907F8"/>
    <w:rsid w:val="468E3293"/>
    <w:rsid w:val="46950430"/>
    <w:rsid w:val="469B3331"/>
    <w:rsid w:val="46BC098B"/>
    <w:rsid w:val="46D46E68"/>
    <w:rsid w:val="46D50A4B"/>
    <w:rsid w:val="46F1268C"/>
    <w:rsid w:val="46F1537D"/>
    <w:rsid w:val="46F453EA"/>
    <w:rsid w:val="46F7337C"/>
    <w:rsid w:val="46FD3A3A"/>
    <w:rsid w:val="4707430C"/>
    <w:rsid w:val="470B2F4B"/>
    <w:rsid w:val="471548AF"/>
    <w:rsid w:val="471A181E"/>
    <w:rsid w:val="47254FD5"/>
    <w:rsid w:val="473679F2"/>
    <w:rsid w:val="473F57D0"/>
    <w:rsid w:val="47530C8D"/>
    <w:rsid w:val="478A4602"/>
    <w:rsid w:val="478C72B9"/>
    <w:rsid w:val="4791010F"/>
    <w:rsid w:val="479162C5"/>
    <w:rsid w:val="47A54D66"/>
    <w:rsid w:val="47C39F40"/>
    <w:rsid w:val="47D569D5"/>
    <w:rsid w:val="47F178B0"/>
    <w:rsid w:val="481A5332"/>
    <w:rsid w:val="481C32A1"/>
    <w:rsid w:val="48430818"/>
    <w:rsid w:val="485671BC"/>
    <w:rsid w:val="485D7150"/>
    <w:rsid w:val="48605F31"/>
    <w:rsid w:val="487A6C3F"/>
    <w:rsid w:val="48820B1F"/>
    <w:rsid w:val="488C23DF"/>
    <w:rsid w:val="48904A41"/>
    <w:rsid w:val="489C54B7"/>
    <w:rsid w:val="48AD570C"/>
    <w:rsid w:val="48B23BB3"/>
    <w:rsid w:val="48C86D50"/>
    <w:rsid w:val="48D02F2D"/>
    <w:rsid w:val="48D161B4"/>
    <w:rsid w:val="48EB6154"/>
    <w:rsid w:val="48EE176A"/>
    <w:rsid w:val="48FF00A1"/>
    <w:rsid w:val="490532F8"/>
    <w:rsid w:val="491543E1"/>
    <w:rsid w:val="49173960"/>
    <w:rsid w:val="492A1B31"/>
    <w:rsid w:val="494B5A20"/>
    <w:rsid w:val="4954761B"/>
    <w:rsid w:val="495A473B"/>
    <w:rsid w:val="496639FF"/>
    <w:rsid w:val="49741C1C"/>
    <w:rsid w:val="49745A4C"/>
    <w:rsid w:val="4978661B"/>
    <w:rsid w:val="49807EE5"/>
    <w:rsid w:val="49852463"/>
    <w:rsid w:val="499210B2"/>
    <w:rsid w:val="4993205F"/>
    <w:rsid w:val="49941997"/>
    <w:rsid w:val="49C66F82"/>
    <w:rsid w:val="49D756C0"/>
    <w:rsid w:val="49DC4B3F"/>
    <w:rsid w:val="49F32E67"/>
    <w:rsid w:val="4A0D0D99"/>
    <w:rsid w:val="4A12100F"/>
    <w:rsid w:val="4A2A0C04"/>
    <w:rsid w:val="4A2D6736"/>
    <w:rsid w:val="4A382D93"/>
    <w:rsid w:val="4A476C59"/>
    <w:rsid w:val="4A5F5A28"/>
    <w:rsid w:val="4A737E50"/>
    <w:rsid w:val="4A851B4F"/>
    <w:rsid w:val="4A871BBC"/>
    <w:rsid w:val="4A972640"/>
    <w:rsid w:val="4A9C1E20"/>
    <w:rsid w:val="4A9D4723"/>
    <w:rsid w:val="4A9F54C3"/>
    <w:rsid w:val="4AC62E06"/>
    <w:rsid w:val="4AD1478D"/>
    <w:rsid w:val="4AF02DFF"/>
    <w:rsid w:val="4AF34855"/>
    <w:rsid w:val="4AF8499A"/>
    <w:rsid w:val="4B0E7572"/>
    <w:rsid w:val="4B147224"/>
    <w:rsid w:val="4B1E14F9"/>
    <w:rsid w:val="4B3467E4"/>
    <w:rsid w:val="4B370A38"/>
    <w:rsid w:val="4B443007"/>
    <w:rsid w:val="4B4E58DA"/>
    <w:rsid w:val="4B521D75"/>
    <w:rsid w:val="4B6B0735"/>
    <w:rsid w:val="4B7B3675"/>
    <w:rsid w:val="4B88316E"/>
    <w:rsid w:val="4B906680"/>
    <w:rsid w:val="4BA61017"/>
    <w:rsid w:val="4BAE216D"/>
    <w:rsid w:val="4BB564B2"/>
    <w:rsid w:val="4BDA5166"/>
    <w:rsid w:val="4BE77212"/>
    <w:rsid w:val="4C086AC9"/>
    <w:rsid w:val="4C150A13"/>
    <w:rsid w:val="4C231BAC"/>
    <w:rsid w:val="4C2A630B"/>
    <w:rsid w:val="4C2E28B4"/>
    <w:rsid w:val="4C52218A"/>
    <w:rsid w:val="4C53765C"/>
    <w:rsid w:val="4C5A78D5"/>
    <w:rsid w:val="4C650797"/>
    <w:rsid w:val="4C6D2845"/>
    <w:rsid w:val="4C8A31D6"/>
    <w:rsid w:val="4C8E1390"/>
    <w:rsid w:val="4C9D60D0"/>
    <w:rsid w:val="4CA57E88"/>
    <w:rsid w:val="4CB35883"/>
    <w:rsid w:val="4CC87888"/>
    <w:rsid w:val="4CCE60E1"/>
    <w:rsid w:val="4CE24D2D"/>
    <w:rsid w:val="4CE9389D"/>
    <w:rsid w:val="4CE94237"/>
    <w:rsid w:val="4D0B5A8E"/>
    <w:rsid w:val="4D1F2D23"/>
    <w:rsid w:val="4D2310B5"/>
    <w:rsid w:val="4D2B179E"/>
    <w:rsid w:val="4D2E6E9A"/>
    <w:rsid w:val="4D340405"/>
    <w:rsid w:val="4D3A3E47"/>
    <w:rsid w:val="4D4050CE"/>
    <w:rsid w:val="4D4552AE"/>
    <w:rsid w:val="4D462D17"/>
    <w:rsid w:val="4D504BF5"/>
    <w:rsid w:val="4D63393F"/>
    <w:rsid w:val="4D7D15DE"/>
    <w:rsid w:val="4D913927"/>
    <w:rsid w:val="4DA801C2"/>
    <w:rsid w:val="4DC5171A"/>
    <w:rsid w:val="4DDA27AC"/>
    <w:rsid w:val="4DDC5547"/>
    <w:rsid w:val="4E124222"/>
    <w:rsid w:val="4E125D90"/>
    <w:rsid w:val="4E4C58C9"/>
    <w:rsid w:val="4E5679E6"/>
    <w:rsid w:val="4E620D67"/>
    <w:rsid w:val="4E6557B0"/>
    <w:rsid w:val="4E7A5EF6"/>
    <w:rsid w:val="4E9059AA"/>
    <w:rsid w:val="4EA40AD6"/>
    <w:rsid w:val="4ED62AC4"/>
    <w:rsid w:val="4ED72634"/>
    <w:rsid w:val="4ED767FC"/>
    <w:rsid w:val="4EF40D04"/>
    <w:rsid w:val="4EF64920"/>
    <w:rsid w:val="4F0C08D8"/>
    <w:rsid w:val="4F1A3168"/>
    <w:rsid w:val="4F2A4D3F"/>
    <w:rsid w:val="4F5A4A3A"/>
    <w:rsid w:val="4F5B5129"/>
    <w:rsid w:val="4F62116A"/>
    <w:rsid w:val="4F6F4486"/>
    <w:rsid w:val="4F7ADA8C"/>
    <w:rsid w:val="4F7B7B7D"/>
    <w:rsid w:val="4FCE7F84"/>
    <w:rsid w:val="4FD82CCF"/>
    <w:rsid w:val="4FEC5C18"/>
    <w:rsid w:val="500211F0"/>
    <w:rsid w:val="5011076A"/>
    <w:rsid w:val="5011785B"/>
    <w:rsid w:val="502A3D03"/>
    <w:rsid w:val="506B78A7"/>
    <w:rsid w:val="50705DC0"/>
    <w:rsid w:val="50827399"/>
    <w:rsid w:val="508A69A1"/>
    <w:rsid w:val="509F058F"/>
    <w:rsid w:val="50AB1BBA"/>
    <w:rsid w:val="50C77F46"/>
    <w:rsid w:val="50CD7098"/>
    <w:rsid w:val="50E62025"/>
    <w:rsid w:val="50F15294"/>
    <w:rsid w:val="50F35595"/>
    <w:rsid w:val="511C1A44"/>
    <w:rsid w:val="5131670E"/>
    <w:rsid w:val="51557FB6"/>
    <w:rsid w:val="51725FDA"/>
    <w:rsid w:val="51745DA7"/>
    <w:rsid w:val="518970FC"/>
    <w:rsid w:val="51936FEB"/>
    <w:rsid w:val="51C0021A"/>
    <w:rsid w:val="51D7183E"/>
    <w:rsid w:val="52024437"/>
    <w:rsid w:val="520B054B"/>
    <w:rsid w:val="52164DAC"/>
    <w:rsid w:val="52227C7D"/>
    <w:rsid w:val="522B65D4"/>
    <w:rsid w:val="52320893"/>
    <w:rsid w:val="524478F7"/>
    <w:rsid w:val="52495504"/>
    <w:rsid w:val="52527657"/>
    <w:rsid w:val="52680BBE"/>
    <w:rsid w:val="52700812"/>
    <w:rsid w:val="52A275D3"/>
    <w:rsid w:val="52B96CF9"/>
    <w:rsid w:val="52BB2CA5"/>
    <w:rsid w:val="52D33FC3"/>
    <w:rsid w:val="52E14E87"/>
    <w:rsid w:val="52E166BC"/>
    <w:rsid w:val="52F16696"/>
    <w:rsid w:val="52F97B8A"/>
    <w:rsid w:val="52FE437E"/>
    <w:rsid w:val="530E0376"/>
    <w:rsid w:val="532C3418"/>
    <w:rsid w:val="533D2320"/>
    <w:rsid w:val="534E6E22"/>
    <w:rsid w:val="535929E7"/>
    <w:rsid w:val="53594806"/>
    <w:rsid w:val="535D38DE"/>
    <w:rsid w:val="535F6271"/>
    <w:rsid w:val="53641ACA"/>
    <w:rsid w:val="53962464"/>
    <w:rsid w:val="53A344D3"/>
    <w:rsid w:val="53A90858"/>
    <w:rsid w:val="53C4039C"/>
    <w:rsid w:val="53C519D1"/>
    <w:rsid w:val="53C617AB"/>
    <w:rsid w:val="53EA0079"/>
    <w:rsid w:val="53FD53C4"/>
    <w:rsid w:val="54015EBD"/>
    <w:rsid w:val="54032B42"/>
    <w:rsid w:val="540606FA"/>
    <w:rsid w:val="542C62BE"/>
    <w:rsid w:val="542D37AE"/>
    <w:rsid w:val="543C2712"/>
    <w:rsid w:val="54643271"/>
    <w:rsid w:val="546B36D0"/>
    <w:rsid w:val="54794DA7"/>
    <w:rsid w:val="54850BC4"/>
    <w:rsid w:val="548B4FBE"/>
    <w:rsid w:val="54BD6083"/>
    <w:rsid w:val="54DB0075"/>
    <w:rsid w:val="54E76C3B"/>
    <w:rsid w:val="54EB225F"/>
    <w:rsid w:val="54EE57C0"/>
    <w:rsid w:val="54F50673"/>
    <w:rsid w:val="550246D4"/>
    <w:rsid w:val="5503332F"/>
    <w:rsid w:val="550E5FB0"/>
    <w:rsid w:val="551E4C1B"/>
    <w:rsid w:val="55254D99"/>
    <w:rsid w:val="553A5E99"/>
    <w:rsid w:val="55402D88"/>
    <w:rsid w:val="5541797B"/>
    <w:rsid w:val="5570683D"/>
    <w:rsid w:val="557D32B8"/>
    <w:rsid w:val="55880369"/>
    <w:rsid w:val="558F16F9"/>
    <w:rsid w:val="559B306A"/>
    <w:rsid w:val="559E36B7"/>
    <w:rsid w:val="55A6370A"/>
    <w:rsid w:val="55A74A15"/>
    <w:rsid w:val="55A757C9"/>
    <w:rsid w:val="55B153A9"/>
    <w:rsid w:val="55D31941"/>
    <w:rsid w:val="55D738D9"/>
    <w:rsid w:val="56012540"/>
    <w:rsid w:val="56141D7D"/>
    <w:rsid w:val="56173E41"/>
    <w:rsid w:val="5617542B"/>
    <w:rsid w:val="561A53B4"/>
    <w:rsid w:val="56314C14"/>
    <w:rsid w:val="56327291"/>
    <w:rsid w:val="563E1049"/>
    <w:rsid w:val="565A0D63"/>
    <w:rsid w:val="565A3041"/>
    <w:rsid w:val="565B1CF2"/>
    <w:rsid w:val="56603E56"/>
    <w:rsid w:val="56643BE3"/>
    <w:rsid w:val="56702E09"/>
    <w:rsid w:val="56705EC6"/>
    <w:rsid w:val="567A2B0E"/>
    <w:rsid w:val="56801DCA"/>
    <w:rsid w:val="5689360D"/>
    <w:rsid w:val="56B6257F"/>
    <w:rsid w:val="56B633DB"/>
    <w:rsid w:val="56BF7095"/>
    <w:rsid w:val="56C3277F"/>
    <w:rsid w:val="56CD5CB4"/>
    <w:rsid w:val="56D94CEC"/>
    <w:rsid w:val="57107959"/>
    <w:rsid w:val="57216E00"/>
    <w:rsid w:val="5727FEA6"/>
    <w:rsid w:val="572F0D00"/>
    <w:rsid w:val="57392CE1"/>
    <w:rsid w:val="57581998"/>
    <w:rsid w:val="57663E74"/>
    <w:rsid w:val="576F6C4B"/>
    <w:rsid w:val="577F74C5"/>
    <w:rsid w:val="57835E97"/>
    <w:rsid w:val="57864403"/>
    <w:rsid w:val="579A7208"/>
    <w:rsid w:val="579C05B6"/>
    <w:rsid w:val="579F6793"/>
    <w:rsid w:val="57C43EF4"/>
    <w:rsid w:val="57E461C1"/>
    <w:rsid w:val="57EE108D"/>
    <w:rsid w:val="57F75863"/>
    <w:rsid w:val="58124810"/>
    <w:rsid w:val="581E44D1"/>
    <w:rsid w:val="582D2A9A"/>
    <w:rsid w:val="583730DC"/>
    <w:rsid w:val="58390001"/>
    <w:rsid w:val="583B793C"/>
    <w:rsid w:val="58583468"/>
    <w:rsid w:val="585D7503"/>
    <w:rsid w:val="585E1D8F"/>
    <w:rsid w:val="586953AF"/>
    <w:rsid w:val="586C5565"/>
    <w:rsid w:val="586E35FD"/>
    <w:rsid w:val="58AF64C4"/>
    <w:rsid w:val="58B80F41"/>
    <w:rsid w:val="58BD62E7"/>
    <w:rsid w:val="58D07D87"/>
    <w:rsid w:val="58F24D5B"/>
    <w:rsid w:val="58F91CBD"/>
    <w:rsid w:val="592239EB"/>
    <w:rsid w:val="5967369F"/>
    <w:rsid w:val="59697DA3"/>
    <w:rsid w:val="596B0280"/>
    <w:rsid w:val="59C77712"/>
    <w:rsid w:val="5A0D2509"/>
    <w:rsid w:val="5A2706C0"/>
    <w:rsid w:val="5A301FB0"/>
    <w:rsid w:val="5A3D614F"/>
    <w:rsid w:val="5A4B4612"/>
    <w:rsid w:val="5A6466BE"/>
    <w:rsid w:val="5A6803FB"/>
    <w:rsid w:val="5A682541"/>
    <w:rsid w:val="5A9C11B6"/>
    <w:rsid w:val="5ACE434F"/>
    <w:rsid w:val="5AD65731"/>
    <w:rsid w:val="5ADB6566"/>
    <w:rsid w:val="5ADE1EB4"/>
    <w:rsid w:val="5AFA4223"/>
    <w:rsid w:val="5B0E3490"/>
    <w:rsid w:val="5B20159D"/>
    <w:rsid w:val="5B275EFC"/>
    <w:rsid w:val="5B33502D"/>
    <w:rsid w:val="5B3B1625"/>
    <w:rsid w:val="5B3E268F"/>
    <w:rsid w:val="5B456222"/>
    <w:rsid w:val="5B530A18"/>
    <w:rsid w:val="5B82472B"/>
    <w:rsid w:val="5B9F3C3B"/>
    <w:rsid w:val="5BFF26A1"/>
    <w:rsid w:val="5C002B89"/>
    <w:rsid w:val="5C0B1F2C"/>
    <w:rsid w:val="5C207967"/>
    <w:rsid w:val="5C23707D"/>
    <w:rsid w:val="5C365E76"/>
    <w:rsid w:val="5C392FF4"/>
    <w:rsid w:val="5C48792D"/>
    <w:rsid w:val="5C5B156C"/>
    <w:rsid w:val="5C6C30EC"/>
    <w:rsid w:val="5CC2679A"/>
    <w:rsid w:val="5CC72E7A"/>
    <w:rsid w:val="5CCF6E87"/>
    <w:rsid w:val="5CD42299"/>
    <w:rsid w:val="5CE94283"/>
    <w:rsid w:val="5CFB6E28"/>
    <w:rsid w:val="5D031D62"/>
    <w:rsid w:val="5D1D631A"/>
    <w:rsid w:val="5D293ECC"/>
    <w:rsid w:val="5D5C1657"/>
    <w:rsid w:val="5D630FB4"/>
    <w:rsid w:val="5D646463"/>
    <w:rsid w:val="5D726417"/>
    <w:rsid w:val="5D7C38C6"/>
    <w:rsid w:val="5D867019"/>
    <w:rsid w:val="5DA24836"/>
    <w:rsid w:val="5DA933D0"/>
    <w:rsid w:val="5DB15BEE"/>
    <w:rsid w:val="5DCA1634"/>
    <w:rsid w:val="5DCF28A3"/>
    <w:rsid w:val="5DD27238"/>
    <w:rsid w:val="5DD47278"/>
    <w:rsid w:val="5DDB4060"/>
    <w:rsid w:val="5DE77EB0"/>
    <w:rsid w:val="5DE9665C"/>
    <w:rsid w:val="5DEF0721"/>
    <w:rsid w:val="5E0347A8"/>
    <w:rsid w:val="5E1023F5"/>
    <w:rsid w:val="5E126E06"/>
    <w:rsid w:val="5E32790B"/>
    <w:rsid w:val="5E347D17"/>
    <w:rsid w:val="5E3A3F45"/>
    <w:rsid w:val="5E435F5D"/>
    <w:rsid w:val="5E63153D"/>
    <w:rsid w:val="5E705051"/>
    <w:rsid w:val="5E9E13A2"/>
    <w:rsid w:val="5E9E74DD"/>
    <w:rsid w:val="5EA75CDE"/>
    <w:rsid w:val="5ECE7EE6"/>
    <w:rsid w:val="5ED634C8"/>
    <w:rsid w:val="5EDD3799"/>
    <w:rsid w:val="5EEA3B7D"/>
    <w:rsid w:val="5F070A31"/>
    <w:rsid w:val="5F2A1191"/>
    <w:rsid w:val="5F402047"/>
    <w:rsid w:val="5F5A4919"/>
    <w:rsid w:val="5F61294C"/>
    <w:rsid w:val="5F621D68"/>
    <w:rsid w:val="5F7E5392"/>
    <w:rsid w:val="5F8B3423"/>
    <w:rsid w:val="5F906BDC"/>
    <w:rsid w:val="5F91640A"/>
    <w:rsid w:val="5FAF31AF"/>
    <w:rsid w:val="5FC127A1"/>
    <w:rsid w:val="5FE51438"/>
    <w:rsid w:val="5FFFA355"/>
    <w:rsid w:val="60031B45"/>
    <w:rsid w:val="600757B2"/>
    <w:rsid w:val="604B710E"/>
    <w:rsid w:val="604E348F"/>
    <w:rsid w:val="605C1882"/>
    <w:rsid w:val="60C75BD4"/>
    <w:rsid w:val="60EA79A8"/>
    <w:rsid w:val="60F86A89"/>
    <w:rsid w:val="61125AD6"/>
    <w:rsid w:val="6113273A"/>
    <w:rsid w:val="6115575D"/>
    <w:rsid w:val="611A738B"/>
    <w:rsid w:val="61285CE9"/>
    <w:rsid w:val="613666E9"/>
    <w:rsid w:val="6145085E"/>
    <w:rsid w:val="614F7709"/>
    <w:rsid w:val="615317E1"/>
    <w:rsid w:val="615445E4"/>
    <w:rsid w:val="61601036"/>
    <w:rsid w:val="616E37F0"/>
    <w:rsid w:val="61876B59"/>
    <w:rsid w:val="618D5CCF"/>
    <w:rsid w:val="61BD0802"/>
    <w:rsid w:val="61BF4757"/>
    <w:rsid w:val="61CF022B"/>
    <w:rsid w:val="61D12136"/>
    <w:rsid w:val="61F87297"/>
    <w:rsid w:val="61FC075E"/>
    <w:rsid w:val="61FF19DE"/>
    <w:rsid w:val="620B0059"/>
    <w:rsid w:val="620F316C"/>
    <w:rsid w:val="62490CE0"/>
    <w:rsid w:val="6265253E"/>
    <w:rsid w:val="62794A85"/>
    <w:rsid w:val="627C3D2D"/>
    <w:rsid w:val="628B2CB9"/>
    <w:rsid w:val="629758F1"/>
    <w:rsid w:val="62A62CB7"/>
    <w:rsid w:val="62A8120C"/>
    <w:rsid w:val="62CE404C"/>
    <w:rsid w:val="62D7657F"/>
    <w:rsid w:val="62F247D1"/>
    <w:rsid w:val="63114966"/>
    <w:rsid w:val="6356446A"/>
    <w:rsid w:val="63583101"/>
    <w:rsid w:val="63675302"/>
    <w:rsid w:val="636F0CAD"/>
    <w:rsid w:val="63711C2C"/>
    <w:rsid w:val="638C7D21"/>
    <w:rsid w:val="639A5100"/>
    <w:rsid w:val="639B66DA"/>
    <w:rsid w:val="63A65E2A"/>
    <w:rsid w:val="63B54464"/>
    <w:rsid w:val="63BB509E"/>
    <w:rsid w:val="63C12045"/>
    <w:rsid w:val="63CB6ACB"/>
    <w:rsid w:val="63D87378"/>
    <w:rsid w:val="63F97DAC"/>
    <w:rsid w:val="64093D66"/>
    <w:rsid w:val="640F2E76"/>
    <w:rsid w:val="64363779"/>
    <w:rsid w:val="64396A33"/>
    <w:rsid w:val="64497DB3"/>
    <w:rsid w:val="644C4AEB"/>
    <w:rsid w:val="64542162"/>
    <w:rsid w:val="646B3DBF"/>
    <w:rsid w:val="64847686"/>
    <w:rsid w:val="648D5850"/>
    <w:rsid w:val="6494793B"/>
    <w:rsid w:val="64982BCB"/>
    <w:rsid w:val="64992177"/>
    <w:rsid w:val="649B7B35"/>
    <w:rsid w:val="64E7470F"/>
    <w:rsid w:val="64F13280"/>
    <w:rsid w:val="64F370C6"/>
    <w:rsid w:val="65126E3C"/>
    <w:rsid w:val="65184EDC"/>
    <w:rsid w:val="651A2322"/>
    <w:rsid w:val="65260352"/>
    <w:rsid w:val="65286C8B"/>
    <w:rsid w:val="65371FA6"/>
    <w:rsid w:val="653757DB"/>
    <w:rsid w:val="654C7181"/>
    <w:rsid w:val="655D27AA"/>
    <w:rsid w:val="658764B4"/>
    <w:rsid w:val="659D4E70"/>
    <w:rsid w:val="65A134BA"/>
    <w:rsid w:val="65AB4911"/>
    <w:rsid w:val="65C47A3A"/>
    <w:rsid w:val="65C54171"/>
    <w:rsid w:val="65C84152"/>
    <w:rsid w:val="65CB05AB"/>
    <w:rsid w:val="65D468D8"/>
    <w:rsid w:val="65D513F8"/>
    <w:rsid w:val="65D66D2D"/>
    <w:rsid w:val="65E571C9"/>
    <w:rsid w:val="660A1D84"/>
    <w:rsid w:val="662756A8"/>
    <w:rsid w:val="662A7D6A"/>
    <w:rsid w:val="662F09FC"/>
    <w:rsid w:val="66392F57"/>
    <w:rsid w:val="663C4AA2"/>
    <w:rsid w:val="665E6059"/>
    <w:rsid w:val="668B565F"/>
    <w:rsid w:val="668D0C53"/>
    <w:rsid w:val="669B2551"/>
    <w:rsid w:val="669F3ADF"/>
    <w:rsid w:val="66B54B47"/>
    <w:rsid w:val="66C83415"/>
    <w:rsid w:val="66E7BA13"/>
    <w:rsid w:val="66FD3CB5"/>
    <w:rsid w:val="670134AF"/>
    <w:rsid w:val="6714386B"/>
    <w:rsid w:val="67416479"/>
    <w:rsid w:val="67987906"/>
    <w:rsid w:val="67A55A71"/>
    <w:rsid w:val="680410C4"/>
    <w:rsid w:val="680E77A3"/>
    <w:rsid w:val="68482AB3"/>
    <w:rsid w:val="685345BA"/>
    <w:rsid w:val="6863380C"/>
    <w:rsid w:val="686E1C9B"/>
    <w:rsid w:val="6878371C"/>
    <w:rsid w:val="687D7B3F"/>
    <w:rsid w:val="68AE496C"/>
    <w:rsid w:val="68B421A9"/>
    <w:rsid w:val="68B77129"/>
    <w:rsid w:val="68BE25D5"/>
    <w:rsid w:val="68DEDBE8"/>
    <w:rsid w:val="68E842F0"/>
    <w:rsid w:val="68EA09EB"/>
    <w:rsid w:val="68F708EA"/>
    <w:rsid w:val="69013CC7"/>
    <w:rsid w:val="69057634"/>
    <w:rsid w:val="690E6C15"/>
    <w:rsid w:val="692C353F"/>
    <w:rsid w:val="69335712"/>
    <w:rsid w:val="69475D16"/>
    <w:rsid w:val="694A3971"/>
    <w:rsid w:val="695A7C16"/>
    <w:rsid w:val="69694325"/>
    <w:rsid w:val="696A1C2C"/>
    <w:rsid w:val="697174B2"/>
    <w:rsid w:val="69833542"/>
    <w:rsid w:val="69A5127F"/>
    <w:rsid w:val="69BD3147"/>
    <w:rsid w:val="69CD3CDB"/>
    <w:rsid w:val="69D36015"/>
    <w:rsid w:val="69F82D19"/>
    <w:rsid w:val="6A082A0C"/>
    <w:rsid w:val="6A0D09EE"/>
    <w:rsid w:val="6A141CC3"/>
    <w:rsid w:val="6A182A22"/>
    <w:rsid w:val="6A1920F5"/>
    <w:rsid w:val="6A1E3C9F"/>
    <w:rsid w:val="6A310C0E"/>
    <w:rsid w:val="6A383B02"/>
    <w:rsid w:val="6A434530"/>
    <w:rsid w:val="6A61606A"/>
    <w:rsid w:val="6A70556B"/>
    <w:rsid w:val="6A7B0F24"/>
    <w:rsid w:val="6A7E7CED"/>
    <w:rsid w:val="6A7F23AE"/>
    <w:rsid w:val="6A965923"/>
    <w:rsid w:val="6A9A4506"/>
    <w:rsid w:val="6AC70264"/>
    <w:rsid w:val="6AD724BA"/>
    <w:rsid w:val="6AED0471"/>
    <w:rsid w:val="6AFB4B53"/>
    <w:rsid w:val="6B02588E"/>
    <w:rsid w:val="6B085269"/>
    <w:rsid w:val="6B1140EE"/>
    <w:rsid w:val="6B214DC2"/>
    <w:rsid w:val="6B2A53C9"/>
    <w:rsid w:val="6B2E644C"/>
    <w:rsid w:val="6B4E5EB0"/>
    <w:rsid w:val="6B50290D"/>
    <w:rsid w:val="6B5E1910"/>
    <w:rsid w:val="6B614814"/>
    <w:rsid w:val="6B743594"/>
    <w:rsid w:val="6B782228"/>
    <w:rsid w:val="6B8D14DE"/>
    <w:rsid w:val="6B962E21"/>
    <w:rsid w:val="6B984820"/>
    <w:rsid w:val="6B9B54AC"/>
    <w:rsid w:val="6BB77662"/>
    <w:rsid w:val="6BBF0E33"/>
    <w:rsid w:val="6BD62A5C"/>
    <w:rsid w:val="6BE7270A"/>
    <w:rsid w:val="6BED0A26"/>
    <w:rsid w:val="6C056DF8"/>
    <w:rsid w:val="6C4C76EE"/>
    <w:rsid w:val="6C51683D"/>
    <w:rsid w:val="6C523624"/>
    <w:rsid w:val="6C6F48A4"/>
    <w:rsid w:val="6C74484D"/>
    <w:rsid w:val="6CA61E88"/>
    <w:rsid w:val="6CAC347E"/>
    <w:rsid w:val="6CAE3F83"/>
    <w:rsid w:val="6CC06A9D"/>
    <w:rsid w:val="6CD10B30"/>
    <w:rsid w:val="6CD22411"/>
    <w:rsid w:val="6CD41559"/>
    <w:rsid w:val="6CEF32E1"/>
    <w:rsid w:val="6CFC46CC"/>
    <w:rsid w:val="6CFD38D3"/>
    <w:rsid w:val="6CFF0A65"/>
    <w:rsid w:val="6D1A588B"/>
    <w:rsid w:val="6D33476E"/>
    <w:rsid w:val="6D48343A"/>
    <w:rsid w:val="6D576D0A"/>
    <w:rsid w:val="6D662F0D"/>
    <w:rsid w:val="6D6F21BD"/>
    <w:rsid w:val="6D9B6639"/>
    <w:rsid w:val="6DA43CAC"/>
    <w:rsid w:val="6DAA5950"/>
    <w:rsid w:val="6DB0219A"/>
    <w:rsid w:val="6DFA7714"/>
    <w:rsid w:val="6DFE44A6"/>
    <w:rsid w:val="6E13201E"/>
    <w:rsid w:val="6E283E10"/>
    <w:rsid w:val="6E367E4F"/>
    <w:rsid w:val="6E470A82"/>
    <w:rsid w:val="6E6252A7"/>
    <w:rsid w:val="6E68004B"/>
    <w:rsid w:val="6E6971D3"/>
    <w:rsid w:val="6E6E33C0"/>
    <w:rsid w:val="6E824747"/>
    <w:rsid w:val="6E8B0E65"/>
    <w:rsid w:val="6EB03ABA"/>
    <w:rsid w:val="6EC9340F"/>
    <w:rsid w:val="6EE82937"/>
    <w:rsid w:val="6EE96B64"/>
    <w:rsid w:val="6EF25B6C"/>
    <w:rsid w:val="6EFD655E"/>
    <w:rsid w:val="6F0C29C0"/>
    <w:rsid w:val="6F1C255D"/>
    <w:rsid w:val="6F29032C"/>
    <w:rsid w:val="6F433F2C"/>
    <w:rsid w:val="6F4A2E1D"/>
    <w:rsid w:val="6F5617BF"/>
    <w:rsid w:val="6F6E4F84"/>
    <w:rsid w:val="6F721FD4"/>
    <w:rsid w:val="6F732C18"/>
    <w:rsid w:val="6F741780"/>
    <w:rsid w:val="6F7F7A16"/>
    <w:rsid w:val="6FA215FF"/>
    <w:rsid w:val="6FD32A81"/>
    <w:rsid w:val="6FD874A2"/>
    <w:rsid w:val="6FDE0900"/>
    <w:rsid w:val="6FE26D97"/>
    <w:rsid w:val="6FEC732A"/>
    <w:rsid w:val="70026880"/>
    <w:rsid w:val="701778DC"/>
    <w:rsid w:val="70384C99"/>
    <w:rsid w:val="703C419B"/>
    <w:rsid w:val="7096754A"/>
    <w:rsid w:val="70A26035"/>
    <w:rsid w:val="70C12A12"/>
    <w:rsid w:val="70CB0CCE"/>
    <w:rsid w:val="710A20E8"/>
    <w:rsid w:val="710B2708"/>
    <w:rsid w:val="711603D7"/>
    <w:rsid w:val="711E3311"/>
    <w:rsid w:val="712076A9"/>
    <w:rsid w:val="71565EF9"/>
    <w:rsid w:val="71746470"/>
    <w:rsid w:val="71796769"/>
    <w:rsid w:val="71AC68AE"/>
    <w:rsid w:val="71C532A2"/>
    <w:rsid w:val="71E955D3"/>
    <w:rsid w:val="71F95870"/>
    <w:rsid w:val="72026C48"/>
    <w:rsid w:val="720521A3"/>
    <w:rsid w:val="720E1430"/>
    <w:rsid w:val="72105E67"/>
    <w:rsid w:val="721563BD"/>
    <w:rsid w:val="721D23D7"/>
    <w:rsid w:val="722500C0"/>
    <w:rsid w:val="72257FBC"/>
    <w:rsid w:val="72261A4D"/>
    <w:rsid w:val="72414D0A"/>
    <w:rsid w:val="72577C59"/>
    <w:rsid w:val="725C7295"/>
    <w:rsid w:val="7266760C"/>
    <w:rsid w:val="72734894"/>
    <w:rsid w:val="728527BA"/>
    <w:rsid w:val="72A438E3"/>
    <w:rsid w:val="72C355E7"/>
    <w:rsid w:val="72D642B6"/>
    <w:rsid w:val="72E256EB"/>
    <w:rsid w:val="72E34491"/>
    <w:rsid w:val="72F77EB0"/>
    <w:rsid w:val="73113E42"/>
    <w:rsid w:val="7333246B"/>
    <w:rsid w:val="73434C08"/>
    <w:rsid w:val="735174D2"/>
    <w:rsid w:val="735B5A9E"/>
    <w:rsid w:val="73622850"/>
    <w:rsid w:val="736752B4"/>
    <w:rsid w:val="736929C5"/>
    <w:rsid w:val="739C157E"/>
    <w:rsid w:val="73B705AA"/>
    <w:rsid w:val="73BB4500"/>
    <w:rsid w:val="73E32684"/>
    <w:rsid w:val="73E72C3B"/>
    <w:rsid w:val="73EE0F77"/>
    <w:rsid w:val="740970DC"/>
    <w:rsid w:val="740B2C45"/>
    <w:rsid w:val="741E7E05"/>
    <w:rsid w:val="742441A3"/>
    <w:rsid w:val="74657A25"/>
    <w:rsid w:val="74795EE9"/>
    <w:rsid w:val="748B7B27"/>
    <w:rsid w:val="749C6BD5"/>
    <w:rsid w:val="749D396C"/>
    <w:rsid w:val="74AC1D64"/>
    <w:rsid w:val="74B15E4A"/>
    <w:rsid w:val="74B17713"/>
    <w:rsid w:val="74C32790"/>
    <w:rsid w:val="74F23224"/>
    <w:rsid w:val="75050F4D"/>
    <w:rsid w:val="7520617E"/>
    <w:rsid w:val="755D0CB5"/>
    <w:rsid w:val="75775168"/>
    <w:rsid w:val="757B0D4D"/>
    <w:rsid w:val="75A44BFF"/>
    <w:rsid w:val="75A555B3"/>
    <w:rsid w:val="75B20487"/>
    <w:rsid w:val="75BB3F46"/>
    <w:rsid w:val="75BE03C1"/>
    <w:rsid w:val="75E64132"/>
    <w:rsid w:val="75E92EEA"/>
    <w:rsid w:val="75F908E3"/>
    <w:rsid w:val="761A4BC8"/>
    <w:rsid w:val="761A7231"/>
    <w:rsid w:val="762742E9"/>
    <w:rsid w:val="76335CA0"/>
    <w:rsid w:val="763E48D7"/>
    <w:rsid w:val="76653ECF"/>
    <w:rsid w:val="769D5E0F"/>
    <w:rsid w:val="770572DB"/>
    <w:rsid w:val="770D37C1"/>
    <w:rsid w:val="772609D6"/>
    <w:rsid w:val="774D6FF5"/>
    <w:rsid w:val="77613BA5"/>
    <w:rsid w:val="77807573"/>
    <w:rsid w:val="778A2EDC"/>
    <w:rsid w:val="778F349C"/>
    <w:rsid w:val="779C230C"/>
    <w:rsid w:val="77A177F7"/>
    <w:rsid w:val="77C11AE7"/>
    <w:rsid w:val="77DA7D5D"/>
    <w:rsid w:val="77E059A4"/>
    <w:rsid w:val="77F7413D"/>
    <w:rsid w:val="77FF8A2B"/>
    <w:rsid w:val="782F4CBF"/>
    <w:rsid w:val="784A0769"/>
    <w:rsid w:val="786B141D"/>
    <w:rsid w:val="78786F02"/>
    <w:rsid w:val="78806439"/>
    <w:rsid w:val="78863098"/>
    <w:rsid w:val="788A3F05"/>
    <w:rsid w:val="788B00E8"/>
    <w:rsid w:val="789A19CE"/>
    <w:rsid w:val="78AF4A1A"/>
    <w:rsid w:val="78AF5DDE"/>
    <w:rsid w:val="78BD5447"/>
    <w:rsid w:val="78C11DFA"/>
    <w:rsid w:val="78E77004"/>
    <w:rsid w:val="78FE7432"/>
    <w:rsid w:val="790410CF"/>
    <w:rsid w:val="790F7E69"/>
    <w:rsid w:val="794168D6"/>
    <w:rsid w:val="795150D7"/>
    <w:rsid w:val="797D4CB7"/>
    <w:rsid w:val="79956C2B"/>
    <w:rsid w:val="79A37E0D"/>
    <w:rsid w:val="79A5108F"/>
    <w:rsid w:val="79BB59C9"/>
    <w:rsid w:val="79CC3FB4"/>
    <w:rsid w:val="79F34B18"/>
    <w:rsid w:val="7A0D23E9"/>
    <w:rsid w:val="7A2629BD"/>
    <w:rsid w:val="7A2F1E8B"/>
    <w:rsid w:val="7A402F16"/>
    <w:rsid w:val="7A6D5BB8"/>
    <w:rsid w:val="7A7319FC"/>
    <w:rsid w:val="7A731E2F"/>
    <w:rsid w:val="7A771B34"/>
    <w:rsid w:val="7A9A43C7"/>
    <w:rsid w:val="7AAA5BAD"/>
    <w:rsid w:val="7AB20B34"/>
    <w:rsid w:val="7AB95908"/>
    <w:rsid w:val="7AC23872"/>
    <w:rsid w:val="7AD33CB4"/>
    <w:rsid w:val="7AD65239"/>
    <w:rsid w:val="7AF028D6"/>
    <w:rsid w:val="7AFEA494"/>
    <w:rsid w:val="7B176C91"/>
    <w:rsid w:val="7B27071A"/>
    <w:rsid w:val="7B2E1453"/>
    <w:rsid w:val="7B3273B2"/>
    <w:rsid w:val="7B36325E"/>
    <w:rsid w:val="7B42652B"/>
    <w:rsid w:val="7B5679B8"/>
    <w:rsid w:val="7B567CF5"/>
    <w:rsid w:val="7B5733E4"/>
    <w:rsid w:val="7B5A3961"/>
    <w:rsid w:val="7B7B64EC"/>
    <w:rsid w:val="7B831976"/>
    <w:rsid w:val="7B8A05BE"/>
    <w:rsid w:val="7B8D74BB"/>
    <w:rsid w:val="7B91352B"/>
    <w:rsid w:val="7B96606A"/>
    <w:rsid w:val="7B9A066B"/>
    <w:rsid w:val="7BA778BD"/>
    <w:rsid w:val="7BAF0C5C"/>
    <w:rsid w:val="7BAF55C7"/>
    <w:rsid w:val="7BB764CE"/>
    <w:rsid w:val="7BC06F80"/>
    <w:rsid w:val="7BD93180"/>
    <w:rsid w:val="7BEE5BFF"/>
    <w:rsid w:val="7BF60A9E"/>
    <w:rsid w:val="7C211EEC"/>
    <w:rsid w:val="7C3526A5"/>
    <w:rsid w:val="7C387CA9"/>
    <w:rsid w:val="7C3A2C0E"/>
    <w:rsid w:val="7C456013"/>
    <w:rsid w:val="7C604535"/>
    <w:rsid w:val="7C856C59"/>
    <w:rsid w:val="7C9F0ECE"/>
    <w:rsid w:val="7C9F1809"/>
    <w:rsid w:val="7CA61E05"/>
    <w:rsid w:val="7CCE78C1"/>
    <w:rsid w:val="7CE720B4"/>
    <w:rsid w:val="7CE813D2"/>
    <w:rsid w:val="7CEA2B47"/>
    <w:rsid w:val="7CEC47DD"/>
    <w:rsid w:val="7CF26380"/>
    <w:rsid w:val="7CF62871"/>
    <w:rsid w:val="7D167210"/>
    <w:rsid w:val="7D181675"/>
    <w:rsid w:val="7D1E519B"/>
    <w:rsid w:val="7D406AA5"/>
    <w:rsid w:val="7D4E4E99"/>
    <w:rsid w:val="7D5575FF"/>
    <w:rsid w:val="7D5855A0"/>
    <w:rsid w:val="7D6148EF"/>
    <w:rsid w:val="7D64767D"/>
    <w:rsid w:val="7D965BB5"/>
    <w:rsid w:val="7DA25AFD"/>
    <w:rsid w:val="7DA8074C"/>
    <w:rsid w:val="7DB119A1"/>
    <w:rsid w:val="7DC12FAC"/>
    <w:rsid w:val="7DCE3FA5"/>
    <w:rsid w:val="7DD32765"/>
    <w:rsid w:val="7DE763FB"/>
    <w:rsid w:val="7DEE3C10"/>
    <w:rsid w:val="7E211CF3"/>
    <w:rsid w:val="7E442F02"/>
    <w:rsid w:val="7E524F90"/>
    <w:rsid w:val="7E6001B0"/>
    <w:rsid w:val="7E61260B"/>
    <w:rsid w:val="7E9F0EFD"/>
    <w:rsid w:val="7EAC3EEF"/>
    <w:rsid w:val="7EAE7E9C"/>
    <w:rsid w:val="7EB027AD"/>
    <w:rsid w:val="7EB27098"/>
    <w:rsid w:val="7EEDD843"/>
    <w:rsid w:val="7EF003F5"/>
    <w:rsid w:val="7EF63D2C"/>
    <w:rsid w:val="7EFF070E"/>
    <w:rsid w:val="7EFF2190"/>
    <w:rsid w:val="7F026A5A"/>
    <w:rsid w:val="7F0E3426"/>
    <w:rsid w:val="7F1D3A61"/>
    <w:rsid w:val="7F3D502C"/>
    <w:rsid w:val="7F54257D"/>
    <w:rsid w:val="7F560B3C"/>
    <w:rsid w:val="7F6539B5"/>
    <w:rsid w:val="7F6C14B1"/>
    <w:rsid w:val="7F7B63EA"/>
    <w:rsid w:val="7F8251B7"/>
    <w:rsid w:val="7F8747CC"/>
    <w:rsid w:val="7FA62BB2"/>
    <w:rsid w:val="7FA770DB"/>
    <w:rsid w:val="7FAE78AE"/>
    <w:rsid w:val="7FEC20B7"/>
    <w:rsid w:val="7FEF36FD"/>
    <w:rsid w:val="7FFE237A"/>
    <w:rsid w:val="7FFE4312"/>
    <w:rsid w:val="9BEF2603"/>
    <w:rsid w:val="9EBBA580"/>
    <w:rsid w:val="9FF764CC"/>
    <w:rsid w:val="ACE72D6A"/>
    <w:rsid w:val="AFBE53EF"/>
    <w:rsid w:val="AFC3CA93"/>
    <w:rsid w:val="BBBA70E0"/>
    <w:rsid w:val="BFEF5DA4"/>
    <w:rsid w:val="BFFF3CE7"/>
    <w:rsid w:val="C7FFD140"/>
    <w:rsid w:val="DAB9C177"/>
    <w:rsid w:val="DBFFC769"/>
    <w:rsid w:val="DE3D2531"/>
    <w:rsid w:val="E57FD1D3"/>
    <w:rsid w:val="EE5FDEEA"/>
    <w:rsid w:val="EFDFE490"/>
    <w:rsid w:val="F2D778E7"/>
    <w:rsid w:val="F3FECDF1"/>
    <w:rsid w:val="F4FC168A"/>
    <w:rsid w:val="F75E38EB"/>
    <w:rsid w:val="F7A9A59D"/>
    <w:rsid w:val="FBFFE490"/>
    <w:rsid w:val="FCF72E6C"/>
    <w:rsid w:val="FD9E75CF"/>
    <w:rsid w:val="FDAFF2F0"/>
    <w:rsid w:val="FF3F60BC"/>
    <w:rsid w:val="FF7FA557"/>
    <w:rsid w:val="FFBF7137"/>
    <w:rsid w:val="FFFF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69"/>
    <w:qFormat/>
    <w:uiPriority w:val="0"/>
    <w:pPr>
      <w:keepNext/>
      <w:snapToGrid w:val="0"/>
      <w:spacing w:line="360" w:lineRule="auto"/>
      <w:jc w:val="center"/>
      <w:outlineLvl w:val="0"/>
    </w:pPr>
    <w:rPr>
      <w:rFonts w:ascii="宋体" w:hAnsi="宋体"/>
      <w:b/>
      <w:sz w:val="32"/>
    </w:rPr>
  </w:style>
  <w:style w:type="paragraph" w:styleId="6">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link w:val="71"/>
    <w:qFormat/>
    <w:uiPriority w:val="0"/>
    <w:pPr>
      <w:keepNext/>
      <w:keepLines/>
      <w:spacing w:before="260" w:after="260" w:line="413" w:lineRule="auto"/>
      <w:outlineLvl w:val="2"/>
    </w:pPr>
    <w:rPr>
      <w:b/>
      <w:sz w:val="32"/>
    </w:rPr>
  </w:style>
  <w:style w:type="paragraph" w:styleId="9">
    <w:name w:val="heading 4"/>
    <w:basedOn w:val="1"/>
    <w:next w:val="1"/>
    <w:qFormat/>
    <w:uiPriority w:val="0"/>
    <w:pPr>
      <w:keepNext/>
      <w:keepLines/>
      <w:spacing w:before="280" w:after="290" w:line="372" w:lineRule="auto"/>
      <w:outlineLvl w:val="3"/>
    </w:pPr>
    <w:rPr>
      <w:rFonts w:ascii="Arial" w:hAnsi="Arial" w:eastAsia="黑体"/>
      <w:b/>
    </w:rPr>
  </w:style>
  <w:style w:type="paragraph" w:styleId="10">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1">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2">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3">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4">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Date"/>
    <w:basedOn w:val="1"/>
    <w:next w:val="1"/>
    <w:link w:val="74"/>
    <w:qFormat/>
    <w:uiPriority w:val="0"/>
  </w:style>
  <w:style w:type="paragraph" w:styleId="8">
    <w:name w:val="Normal Indent"/>
    <w:basedOn w:val="1"/>
    <w:qFormat/>
    <w:uiPriority w:val="0"/>
    <w:pPr>
      <w:adjustRightInd w:val="0"/>
      <w:snapToGrid w:val="0"/>
      <w:spacing w:line="360" w:lineRule="auto"/>
      <w:ind w:firstLine="420"/>
    </w:pPr>
    <w:rPr>
      <w:sz w:val="24"/>
    </w:rPr>
  </w:style>
  <w:style w:type="paragraph" w:styleId="15">
    <w:name w:val="List 3"/>
    <w:basedOn w:val="1"/>
    <w:qFormat/>
    <w:uiPriority w:val="0"/>
    <w:pPr>
      <w:adjustRightInd w:val="0"/>
      <w:snapToGrid w:val="0"/>
      <w:spacing w:line="360" w:lineRule="auto"/>
      <w:ind w:left="100" w:leftChars="400" w:hanging="200" w:hangingChars="200"/>
    </w:pPr>
    <w:rPr>
      <w:sz w:val="24"/>
    </w:rPr>
  </w:style>
  <w:style w:type="paragraph" w:styleId="16">
    <w:name w:val="toc 7"/>
    <w:basedOn w:val="1"/>
    <w:next w:val="1"/>
    <w:qFormat/>
    <w:uiPriority w:val="0"/>
    <w:pPr>
      <w:ind w:left="2520" w:leftChars="1200"/>
    </w:pPr>
  </w:style>
  <w:style w:type="paragraph" w:styleId="17">
    <w:name w:val="List Number 2"/>
    <w:basedOn w:val="1"/>
    <w:qFormat/>
    <w:uiPriority w:val="0"/>
    <w:pPr>
      <w:tabs>
        <w:tab w:val="left" w:pos="780"/>
      </w:tabs>
      <w:spacing w:line="360" w:lineRule="auto"/>
      <w:ind w:left="360" w:hanging="360"/>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semiHidden/>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semiHidden/>
    <w:qFormat/>
    <w:uiPriority w:val="0"/>
    <w:pPr>
      <w:jc w:val="left"/>
    </w:p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next w:val="1"/>
    <w:link w:val="72"/>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tabs>
        <w:tab w:val="left" w:pos="780"/>
      </w:tabs>
      <w:adjustRightInd w:val="0"/>
      <w:snapToGrid w:val="0"/>
      <w:spacing w:line="360" w:lineRule="auto"/>
      <w:ind w:left="780" w:hanging="360"/>
    </w:pPr>
    <w:rPr>
      <w:sz w:val="24"/>
    </w:rPr>
  </w:style>
  <w:style w:type="paragraph" w:styleId="30">
    <w:name w:val="toc 5"/>
    <w:basedOn w:val="1"/>
    <w:next w:val="1"/>
    <w:qFormat/>
    <w:uiPriority w:val="0"/>
    <w:pPr>
      <w:ind w:left="1680" w:leftChars="800"/>
    </w:pPr>
  </w:style>
  <w:style w:type="paragraph" w:styleId="31">
    <w:name w:val="toc 3"/>
    <w:basedOn w:val="1"/>
    <w:next w:val="1"/>
    <w:semiHidden/>
    <w:qFormat/>
    <w:uiPriority w:val="0"/>
    <w:pPr>
      <w:ind w:left="840" w:leftChars="400"/>
    </w:pPr>
  </w:style>
  <w:style w:type="paragraph" w:styleId="32">
    <w:name w:val="Plain Text"/>
    <w:basedOn w:val="1"/>
    <w:link w:val="73"/>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Body Text Indent 2"/>
    <w:basedOn w:val="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5"/>
    <w:qFormat/>
    <w:uiPriority w:val="99"/>
    <w:pPr>
      <w:tabs>
        <w:tab w:val="center" w:pos="4153"/>
        <w:tab w:val="right" w:pos="8306"/>
      </w:tabs>
      <w:snapToGrid w:val="0"/>
      <w:jc w:val="left"/>
    </w:pPr>
    <w:rPr>
      <w:sz w:val="18"/>
    </w:rPr>
  </w:style>
  <w:style w:type="paragraph" w:styleId="37">
    <w:name w:val="header"/>
    <w:basedOn w:val="1"/>
    <w:link w:val="76"/>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semiHidden/>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semiHidden/>
    <w:qFormat/>
    <w:uiPriority w:val="0"/>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2"/>
    <w:next w:val="22"/>
    <w:semiHidden/>
    <w:qFormat/>
    <w:uiPriority w:val="0"/>
    <w:rPr>
      <w:b/>
      <w:bCs/>
    </w:rPr>
  </w:style>
  <w:style w:type="paragraph" w:styleId="57">
    <w:name w:val="Body Text First Indent 2"/>
    <w:basedOn w:val="25"/>
    <w:qFormat/>
    <w:uiPriority w:val="0"/>
    <w:pPr>
      <w:spacing w:after="120" w:line="240" w:lineRule="auto"/>
      <w:ind w:left="420" w:leftChars="200" w:firstLine="420" w:firstLineChars="200"/>
    </w:pPr>
    <w:rPr>
      <w:sz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rPr>
  </w:style>
  <w:style w:type="character" w:styleId="63">
    <w:name w:val="page number"/>
    <w:basedOn w:val="61"/>
    <w:qFormat/>
    <w:uiPriority w:val="0"/>
  </w:style>
  <w:style w:type="character" w:styleId="64">
    <w:name w:val="Emphasis"/>
    <w:qFormat/>
    <w:uiPriority w:val="20"/>
    <w:rPr>
      <w:i/>
    </w:rPr>
  </w:style>
  <w:style w:type="character" w:styleId="65">
    <w:name w:val="Hyperlink"/>
    <w:qFormat/>
    <w:uiPriority w:val="0"/>
    <w:rPr>
      <w:color w:val="0000FF"/>
      <w:u w:val="single"/>
    </w:rPr>
  </w:style>
  <w:style w:type="character" w:styleId="66">
    <w:name w:val="annotation reference"/>
    <w:semiHidden/>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69">
    <w:name w:val="标题 1 字符"/>
    <w:link w:val="5"/>
    <w:qFormat/>
    <w:uiPriority w:val="0"/>
    <w:rPr>
      <w:rFonts w:ascii="宋体" w:hAnsi="宋体" w:eastAsia="宋体"/>
      <w:b/>
      <w:kern w:val="2"/>
      <w:sz w:val="32"/>
      <w:lang w:val="en-US" w:eastAsia="zh-CN" w:bidi="ar-SA"/>
    </w:rPr>
  </w:style>
  <w:style w:type="character" w:customStyle="1" w:styleId="70">
    <w:name w:val="标题 2 字符"/>
    <w:link w:val="6"/>
    <w:qFormat/>
    <w:uiPriority w:val="0"/>
    <w:rPr>
      <w:rFonts w:ascii="Arial" w:hAnsi="Arial" w:eastAsia="黑体"/>
      <w:b/>
      <w:kern w:val="2"/>
      <w:sz w:val="32"/>
      <w:lang w:val="en-US" w:eastAsia="zh-CN" w:bidi="ar-SA"/>
    </w:rPr>
  </w:style>
  <w:style w:type="character" w:customStyle="1" w:styleId="71">
    <w:name w:val="标题 3 字符"/>
    <w:link w:val="7"/>
    <w:qFormat/>
    <w:uiPriority w:val="0"/>
    <w:rPr>
      <w:rFonts w:eastAsia="宋体"/>
      <w:b/>
      <w:kern w:val="2"/>
      <w:sz w:val="32"/>
      <w:lang w:val="en-US" w:eastAsia="zh-CN" w:bidi="ar-SA"/>
    </w:rPr>
  </w:style>
  <w:style w:type="character" w:customStyle="1" w:styleId="72">
    <w:name w:val="正文文本缩进 字符"/>
    <w:link w:val="25"/>
    <w:qFormat/>
    <w:uiPriority w:val="0"/>
    <w:rPr>
      <w:rFonts w:eastAsia="宋体"/>
      <w:kern w:val="2"/>
      <w:sz w:val="44"/>
      <w:lang w:val="en-US" w:eastAsia="zh-CN" w:bidi="ar-SA"/>
    </w:rPr>
  </w:style>
  <w:style w:type="character" w:customStyle="1" w:styleId="73">
    <w:name w:val="纯文本 字符"/>
    <w:link w:val="32"/>
    <w:qFormat/>
    <w:uiPriority w:val="0"/>
    <w:rPr>
      <w:rFonts w:ascii="宋体" w:hAnsi="Courier New" w:eastAsia="宋体"/>
      <w:kern w:val="2"/>
      <w:sz w:val="21"/>
      <w:lang w:val="en-US" w:eastAsia="zh-CN" w:bidi="ar-SA"/>
    </w:rPr>
  </w:style>
  <w:style w:type="character" w:customStyle="1" w:styleId="74">
    <w:name w:val="日期 字符"/>
    <w:link w:val="4"/>
    <w:qFormat/>
    <w:uiPriority w:val="0"/>
    <w:rPr>
      <w:rFonts w:eastAsia="宋体"/>
      <w:kern w:val="2"/>
      <w:sz w:val="28"/>
      <w:lang w:val="en-US" w:eastAsia="zh-CN" w:bidi="ar-SA"/>
    </w:rPr>
  </w:style>
  <w:style w:type="character" w:customStyle="1" w:styleId="75">
    <w:name w:val="页脚 字符"/>
    <w:link w:val="36"/>
    <w:qFormat/>
    <w:uiPriority w:val="99"/>
    <w:rPr>
      <w:kern w:val="2"/>
      <w:sz w:val="18"/>
    </w:rPr>
  </w:style>
  <w:style w:type="character" w:customStyle="1" w:styleId="76">
    <w:name w:val="页眉 字符"/>
    <w:link w:val="37"/>
    <w:qFormat/>
    <w:uiPriority w:val="0"/>
    <w:rPr>
      <w:kern w:val="2"/>
      <w:sz w:val="18"/>
    </w:rPr>
  </w:style>
  <w:style w:type="character" w:customStyle="1" w:styleId="77">
    <w:name w:val="Char Char7"/>
    <w:qFormat/>
    <w:uiPriority w:val="0"/>
    <w:rPr>
      <w:rFonts w:ascii="宋体" w:hAnsi="宋体" w:eastAsia="宋体"/>
      <w:kern w:val="2"/>
      <w:sz w:val="28"/>
    </w:rPr>
  </w:style>
  <w:style w:type="character" w:customStyle="1" w:styleId="78">
    <w:name w:val="Table Text Char1 Char Char"/>
    <w:qFormat/>
    <w:uiPriority w:val="0"/>
    <w:rPr>
      <w:rFonts w:ascii="Arial" w:hAnsi="Arial"/>
      <w:kern w:val="2"/>
      <w:sz w:val="18"/>
      <w:lang w:val="en-US" w:eastAsia="zh-CN" w:bidi="ar-SA"/>
    </w:rPr>
  </w:style>
  <w:style w:type="character" w:customStyle="1" w:styleId="79">
    <w:name w:val="Char Char6"/>
    <w:qFormat/>
    <w:uiPriority w:val="0"/>
    <w:rPr>
      <w:rFonts w:ascii="仿宋_GB2312" w:eastAsia="仿宋_GB2312"/>
      <w:kern w:val="2"/>
      <w:sz w:val="32"/>
    </w:rPr>
  </w:style>
  <w:style w:type="character" w:customStyle="1" w:styleId="80">
    <w:name w:val="zihao_18 jiacu"/>
    <w:basedOn w:val="61"/>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v151"/>
    <w:qFormat/>
    <w:uiPriority w:val="0"/>
    <w:rPr>
      <w:sz w:val="18"/>
    </w:rPr>
  </w:style>
  <w:style w:type="character" w:customStyle="1" w:styleId="83">
    <w:name w:val="top-det1"/>
    <w:qFormat/>
    <w:uiPriority w:val="0"/>
    <w:rPr>
      <w:b/>
      <w:color w:val="000000"/>
    </w:rPr>
  </w:style>
  <w:style w:type="character" w:customStyle="1" w:styleId="84">
    <w:name w:val="标书正文:  0.74 厘米 Char1"/>
    <w:qFormat/>
    <w:uiPriority w:val="0"/>
    <w:rPr>
      <w:rFonts w:eastAsia="宋体"/>
      <w:kern w:val="2"/>
      <w:sz w:val="24"/>
      <w:lang w:val="en-US" w:eastAsia="zh-CN"/>
    </w:rPr>
  </w:style>
  <w:style w:type="character" w:customStyle="1" w:styleId="85">
    <w:name w:val="title_emph1"/>
    <w:qFormat/>
    <w:uiPriority w:val="0"/>
    <w:rPr>
      <w:rFonts w:hint="default" w:ascii="Arial" w:hAnsi="Arial"/>
      <w:b/>
      <w:sz w:val="20"/>
    </w:rPr>
  </w:style>
  <w:style w:type="character" w:customStyle="1" w:styleId="86">
    <w:name w:val="font01"/>
    <w:qFormat/>
    <w:uiPriority w:val="0"/>
    <w:rPr>
      <w:rFonts w:hint="eastAsia" w:ascii="黑体" w:hAnsi="宋体" w:eastAsia="黑体" w:cs="黑体"/>
      <w:color w:val="000000"/>
      <w:sz w:val="20"/>
      <w:szCs w:val="20"/>
      <w:u w:val="none"/>
    </w:rPr>
  </w:style>
  <w:style w:type="character" w:customStyle="1" w:styleId="87">
    <w:name w:val="H2 Char"/>
    <w:qFormat/>
    <w:uiPriority w:val="0"/>
    <w:rPr>
      <w:rFonts w:ascii="Arial" w:hAnsi="Arial" w:eastAsia="宋体"/>
      <w:kern w:val="2"/>
      <w:sz w:val="28"/>
      <w:lang w:val="en-US" w:eastAsia="zh-CN"/>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apple-converted-space"/>
    <w:qFormat/>
    <w:uiPriority w:val="0"/>
  </w:style>
  <w:style w:type="character" w:customStyle="1" w:styleId="91">
    <w:name w:val="访问过的超链接1"/>
    <w:qFormat/>
    <w:uiPriority w:val="0"/>
    <w:rPr>
      <w:color w:val="800080"/>
      <w:u w:val="single"/>
    </w:rPr>
  </w:style>
  <w:style w:type="character" w:customStyle="1" w:styleId="92">
    <w:name w:val="Char Char"/>
    <w:qFormat/>
    <w:uiPriority w:val="0"/>
    <w:rPr>
      <w:rFonts w:eastAsia="宋体"/>
      <w:b/>
      <w:kern w:val="2"/>
      <w:sz w:val="32"/>
      <w:lang w:val="en-US" w:eastAsia="zh-CN"/>
    </w:rPr>
  </w:style>
  <w:style w:type="character" w:customStyle="1" w:styleId="93">
    <w:name w:val="标准文本 Char"/>
    <w:link w:val="94"/>
    <w:qFormat/>
    <w:uiPriority w:val="0"/>
    <w:rPr>
      <w:rFonts w:eastAsia="仿宋_GB2312" w:cs="宋体"/>
      <w:kern w:val="2"/>
      <w:sz w:val="24"/>
      <w:lang w:val="en-US" w:eastAsia="zh-CN" w:bidi="ar-SA"/>
    </w:rPr>
  </w:style>
  <w:style w:type="paragraph" w:customStyle="1" w:styleId="94">
    <w:name w:val="标准文本"/>
    <w:basedOn w:val="1"/>
    <w:link w:val="93"/>
    <w:qFormat/>
    <w:uiPriority w:val="0"/>
    <w:pPr>
      <w:spacing w:line="360" w:lineRule="auto"/>
      <w:ind w:firstLine="480" w:firstLineChars="200"/>
    </w:pPr>
    <w:rPr>
      <w:rFonts w:eastAsia="仿宋_GB2312" w:cs="宋体"/>
      <w:sz w:val="24"/>
    </w:rPr>
  </w:style>
  <w:style w:type="character" w:customStyle="1" w:styleId="95">
    <w:name w:val="crowed11"/>
    <w:qFormat/>
    <w:uiPriority w:val="0"/>
    <w:rPr>
      <w:rFonts w:hint="default"/>
      <w:sz w:val="24"/>
    </w:rPr>
  </w:style>
  <w:style w:type="character" w:customStyle="1" w:styleId="96">
    <w:name w:val="Char Char3"/>
    <w:qFormat/>
    <w:uiPriority w:val="0"/>
    <w:rPr>
      <w:rFonts w:eastAsia="宋体"/>
      <w:kern w:val="2"/>
      <w:sz w:val="18"/>
      <w:lang w:val="en-US" w:eastAsia="zh-CN"/>
    </w:rPr>
  </w:style>
  <w:style w:type="character" w:customStyle="1" w:styleId="97">
    <w:name w:val="Table Text Char"/>
    <w:qFormat/>
    <w:uiPriority w:val="0"/>
    <w:rPr>
      <w:rFonts w:ascii="Arial" w:hAnsi="Arial"/>
      <w:kern w:val="2"/>
      <w:sz w:val="18"/>
      <w:lang w:val="en-US" w:eastAsia="zh-CN" w:bidi="ar-SA"/>
    </w:rPr>
  </w:style>
  <w:style w:type="character" w:customStyle="1" w:styleId="98">
    <w:name w:val="Char Char5"/>
    <w:qFormat/>
    <w:uiPriority w:val="0"/>
    <w:rPr>
      <w:rFonts w:ascii="Arial" w:hAnsi="Arial" w:eastAsia="宋体"/>
      <w:b/>
      <w:smallCaps/>
      <w:kern w:val="28"/>
      <w:sz w:val="36"/>
      <w:lang w:val="en-US" w:eastAsia="en-US"/>
    </w:rPr>
  </w:style>
  <w:style w:type="character" w:customStyle="1" w:styleId="99">
    <w:name w:val="Table Text Char Char Char Char Char Char"/>
    <w:qFormat/>
    <w:uiPriority w:val="0"/>
    <w:rPr>
      <w:rFonts w:ascii="Arial" w:hAnsi="Arial"/>
      <w:kern w:val="2"/>
      <w:sz w:val="18"/>
      <w:lang w:val="en-US" w:eastAsia="zh-CN" w:bidi="ar-SA"/>
    </w:rPr>
  </w:style>
  <w:style w:type="character" w:customStyle="1" w:styleId="100">
    <w:name w:val="Char Char2"/>
    <w:qFormat/>
    <w:uiPriority w:val="0"/>
    <w:rPr>
      <w:rFonts w:eastAsia="宋体"/>
      <w:b/>
      <w:kern w:val="2"/>
      <w:sz w:val="32"/>
      <w:lang w:val="en-US" w:eastAsia="zh-CN" w:bidi="ar-SA"/>
    </w:rPr>
  </w:style>
  <w:style w:type="character" w:customStyle="1" w:styleId="101">
    <w:name w:val="文字 Char Char"/>
    <w:link w:val="102"/>
    <w:qFormat/>
    <w:uiPriority w:val="0"/>
    <w:rPr>
      <w:rFonts w:ascii="宋体" w:eastAsia="宋体"/>
      <w:kern w:val="2"/>
      <w:sz w:val="28"/>
      <w:lang w:val="en-US" w:eastAsia="zh-CN" w:bidi="ar-SA"/>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Table Text Char Char Char Char Char Char Char"/>
    <w:qFormat/>
    <w:uiPriority w:val="0"/>
    <w:rPr>
      <w:rFonts w:ascii="Arial" w:hAnsi="Arial"/>
      <w:kern w:val="2"/>
      <w:sz w:val="18"/>
      <w:lang w:val="en-US" w:eastAsia="zh-CN" w:bidi="ar-SA"/>
    </w:rPr>
  </w:style>
  <w:style w:type="character" w:customStyle="1" w:styleId="104">
    <w:name w:val="content-white1"/>
    <w:qFormat/>
    <w:uiPriority w:val="0"/>
    <w:rPr>
      <w:color w:val="auto"/>
      <w:sz w:val="18"/>
      <w:u w:val="none"/>
    </w:rPr>
  </w:style>
  <w:style w:type="character" w:customStyle="1" w:styleId="105">
    <w:name w:val="font31"/>
    <w:qFormat/>
    <w:uiPriority w:val="0"/>
    <w:rPr>
      <w:rFonts w:hint="eastAsia" w:ascii="宋体" w:hAnsi="宋体" w:eastAsia="宋体" w:cs="宋体"/>
      <w:color w:val="000000"/>
      <w:sz w:val="24"/>
      <w:szCs w:val="24"/>
      <w:u w:val="none"/>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未命名11"/>
    <w:qFormat/>
    <w:uiPriority w:val="0"/>
    <w:rPr>
      <w:color w:val="77FFFF"/>
      <w:sz w:val="24"/>
    </w:rPr>
  </w:style>
  <w:style w:type="character" w:customStyle="1" w:styleId="108">
    <w:name w:val="Table Text Char Char Char Char"/>
    <w:qFormat/>
    <w:uiPriority w:val="0"/>
    <w:rPr>
      <w:rFonts w:ascii="Arial" w:hAnsi="Arial"/>
      <w:kern w:val="2"/>
      <w:sz w:val="18"/>
      <w:lang w:val="en-US" w:eastAsia="zh-CN" w:bidi="ar-SA"/>
    </w:rPr>
  </w:style>
  <w:style w:type="character" w:customStyle="1" w:styleId="109">
    <w:name w:val="font11"/>
    <w:qFormat/>
    <w:uiPriority w:val="0"/>
    <w:rPr>
      <w:rFonts w:hint="eastAsia" w:ascii="宋体" w:hAnsi="宋体" w:eastAsia="宋体" w:cs="宋体"/>
      <w:color w:val="FF0000"/>
      <w:sz w:val="24"/>
      <w:szCs w:val="24"/>
      <w:u w:val="none"/>
    </w:rPr>
  </w:style>
  <w:style w:type="character" w:customStyle="1" w:styleId="110">
    <w:name w:val="font1"/>
    <w:qFormat/>
    <w:uiPriority w:val="0"/>
    <w:rPr>
      <w:color w:val="000000"/>
      <w:sz w:val="18"/>
    </w:rPr>
  </w:style>
  <w:style w:type="character" w:customStyle="1" w:styleId="111">
    <w:name w:val="Char Char4"/>
    <w:qFormat/>
    <w:uiPriority w:val="0"/>
    <w:rPr>
      <w:rFonts w:eastAsia="宋体"/>
      <w:b/>
      <w:kern w:val="2"/>
      <w:sz w:val="21"/>
      <w:lang w:val="en-US" w:eastAsia="zh-CN"/>
    </w:rPr>
  </w:style>
  <w:style w:type="character" w:customStyle="1" w:styleId="112">
    <w:name w:val="样式 宋体"/>
    <w:qFormat/>
    <w:uiPriority w:val="0"/>
    <w:rPr>
      <w:rFonts w:ascii="宋体" w:hAnsi="宋体" w:eastAsia="宋体"/>
      <w:sz w:val="28"/>
    </w:rPr>
  </w:style>
  <w:style w:type="paragraph" w:customStyle="1" w:styleId="113">
    <w:name w:val="标书正文:  0.74 厘米"/>
    <w:basedOn w:val="1"/>
    <w:qFormat/>
    <w:uiPriority w:val="0"/>
    <w:pPr>
      <w:snapToGrid w:val="0"/>
      <w:spacing w:line="360" w:lineRule="auto"/>
      <w:ind w:firstLine="420"/>
    </w:pPr>
    <w:rPr>
      <w:sz w:val="24"/>
    </w:rPr>
  </w:style>
  <w:style w:type="paragraph" w:customStyle="1" w:styleId="114">
    <w:name w:val="表头样式"/>
    <w:basedOn w:val="1"/>
    <w:qFormat/>
    <w:uiPriority w:val="0"/>
    <w:pPr>
      <w:autoSpaceDE w:val="0"/>
      <w:autoSpaceDN w:val="0"/>
      <w:adjustRightInd w:val="0"/>
      <w:spacing w:line="360" w:lineRule="auto"/>
      <w:jc w:val="left"/>
    </w:pPr>
    <w:rPr>
      <w:b/>
      <w:kern w:val="0"/>
      <w:sz w:val="21"/>
    </w:rPr>
  </w:style>
  <w:style w:type="paragraph" w:customStyle="1" w:styleId="11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itle - Revision"/>
    <w:basedOn w:val="55"/>
    <w:qFormat/>
    <w:uiPriority w:val="0"/>
    <w:pPr>
      <w:spacing w:before="720"/>
    </w:pPr>
  </w:style>
  <w:style w:type="paragraph" w:customStyle="1" w:styleId="118">
    <w:name w:val="正文 + 三号"/>
    <w:basedOn w:val="1"/>
    <w:qFormat/>
    <w:uiPriority w:val="0"/>
    <w:rPr>
      <w:sz w:val="21"/>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标题无"/>
    <w:basedOn w:val="1"/>
    <w:qFormat/>
    <w:uiPriority w:val="0"/>
    <w:pPr>
      <w:spacing w:line="360" w:lineRule="auto"/>
    </w:pPr>
    <w:rPr>
      <w:sz w:val="24"/>
    </w:rPr>
  </w:style>
  <w:style w:type="paragraph" w:customStyle="1" w:styleId="12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4">
    <w:name w:val="Char4"/>
    <w:basedOn w:val="1"/>
    <w:qFormat/>
    <w:uiPriority w:val="0"/>
    <w:pPr>
      <w:spacing w:line="360" w:lineRule="auto"/>
      <w:ind w:firstLine="200" w:firstLineChars="200"/>
    </w:pPr>
    <w:rPr>
      <w:rFonts w:ascii="宋体" w:hAnsi="宋体" w:cs="宋体"/>
      <w:sz w:val="24"/>
      <w:szCs w:val="24"/>
    </w:rPr>
  </w:style>
  <w:style w:type="paragraph" w:customStyle="1" w:styleId="12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首行缩进 1"/>
    <w:basedOn w:val="1"/>
    <w:qFormat/>
    <w:uiPriority w:val="0"/>
    <w:pPr>
      <w:spacing w:after="120" w:line="360" w:lineRule="auto"/>
      <w:ind w:firstLine="200" w:firstLineChars="200"/>
    </w:pPr>
    <w:rPr>
      <w:sz w:val="24"/>
    </w:rPr>
  </w:style>
  <w:style w:type="paragraph" w:customStyle="1" w:styleId="127">
    <w:name w:val="样式1xz"/>
    <w:basedOn w:val="1"/>
    <w:qFormat/>
    <w:uiPriority w:val="0"/>
    <w:pPr>
      <w:tabs>
        <w:tab w:val="left" w:pos="1050"/>
        <w:tab w:val="right" w:leader="dot" w:pos="8296"/>
      </w:tabs>
    </w:pPr>
    <w:rPr>
      <w:caps/>
      <w:spacing w:val="20"/>
      <w:sz w:val="24"/>
    </w:rPr>
  </w:style>
  <w:style w:type="paragraph" w:customStyle="1" w:styleId="128">
    <w:name w:val="一级条标题"/>
    <w:basedOn w:val="129"/>
    <w:next w:val="130"/>
    <w:qFormat/>
    <w:uiPriority w:val="0"/>
    <w:pPr>
      <w:spacing w:beforeLines="0"/>
      <w:ind w:left="525"/>
      <w:outlineLvl w:val="2"/>
    </w:pPr>
    <w:rPr>
      <w:sz w:val="21"/>
    </w:rPr>
  </w:style>
  <w:style w:type="paragraph" w:customStyle="1" w:styleId="129">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样式 标题 6第五层条 + 三号 段前: 0.5 行"/>
    <w:basedOn w:val="11"/>
    <w:qFormat/>
    <w:uiPriority w:val="0"/>
    <w:pPr>
      <w:widowControl/>
      <w:adjustRightInd/>
      <w:snapToGrid/>
      <w:spacing w:beforeLines="50"/>
      <w:jc w:val="left"/>
    </w:pPr>
    <w:rPr>
      <w:snapToGrid w:val="0"/>
      <w:kern w:val="24"/>
      <w:sz w:val="28"/>
    </w:rPr>
  </w:style>
  <w:style w:type="paragraph" w:customStyle="1" w:styleId="13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3">
    <w:name w:val="IN Feature"/>
    <w:next w:val="13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5">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内容标题"/>
    <w:basedOn w:val="20"/>
    <w:qFormat/>
    <w:uiPriority w:val="0"/>
    <w:rPr>
      <w:rFonts w:ascii="Tahoma" w:hAnsi="Tahoma"/>
      <w:sz w:val="24"/>
    </w:rPr>
  </w:style>
  <w:style w:type="paragraph" w:customStyle="1" w:styleId="137">
    <w:name w:val="正文文本 22"/>
    <w:basedOn w:val="1"/>
    <w:qFormat/>
    <w:uiPriority w:val="0"/>
    <w:pPr>
      <w:adjustRightInd w:val="0"/>
      <w:spacing w:before="120" w:line="360" w:lineRule="auto"/>
      <w:ind w:firstLine="480"/>
      <w:textAlignment w:val="baseline"/>
    </w:pPr>
    <w:rPr>
      <w:sz w:val="24"/>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2"/>
    <w:basedOn w:val="9"/>
    <w:qFormat/>
    <w:uiPriority w:val="0"/>
    <w:pPr>
      <w:tabs>
        <w:tab w:val="left" w:pos="720"/>
      </w:tabs>
      <w:spacing w:before="560" w:line="400" w:lineRule="exact"/>
      <w:ind w:left="420" w:hanging="420"/>
      <w:jc w:val="center"/>
      <w:outlineLvl w:val="0"/>
    </w:pPr>
    <w:rPr>
      <w:b w:val="0"/>
      <w:sz w:val="44"/>
    </w:rPr>
  </w:style>
  <w:style w:type="paragraph" w:customStyle="1" w:styleId="14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1"/>
    <w:basedOn w:val="1"/>
    <w:next w:val="32"/>
    <w:qFormat/>
    <w:uiPriority w:val="0"/>
    <w:rPr>
      <w:rFonts w:ascii="宋体" w:hAnsi="Courier New"/>
      <w:sz w:val="21"/>
    </w:rPr>
  </w:style>
  <w:style w:type="paragraph" w:customStyle="1" w:styleId="14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6">
    <w:name w:val="可研正文"/>
    <w:basedOn w:val="3"/>
    <w:qFormat/>
    <w:uiPriority w:val="0"/>
    <w:pPr>
      <w:adjustRightInd w:val="0"/>
      <w:snapToGrid w:val="0"/>
      <w:spacing w:line="440" w:lineRule="exact"/>
      <w:ind w:firstLine="567"/>
    </w:pPr>
    <w:rPr>
      <w:sz w:val="28"/>
    </w:rPr>
  </w:style>
  <w:style w:type="paragraph" w:customStyle="1" w:styleId="147">
    <w:name w:val="摘要"/>
    <w:basedOn w:val="1"/>
    <w:next w:val="6"/>
    <w:qFormat/>
    <w:uiPriority w:val="0"/>
    <w:pPr>
      <w:spacing w:line="360" w:lineRule="auto"/>
    </w:pPr>
    <w:rPr>
      <w:rFonts w:eastAsia="黑体"/>
      <w:sz w:val="20"/>
    </w:rPr>
  </w:style>
  <w:style w:type="paragraph" w:customStyle="1" w:styleId="148">
    <w:name w:val="Char3"/>
    <w:basedOn w:val="1"/>
    <w:qFormat/>
    <w:uiPriority w:val="0"/>
    <w:pPr>
      <w:spacing w:line="240" w:lineRule="atLeast"/>
      <w:ind w:left="420" w:firstLine="420"/>
    </w:pPr>
    <w:rPr>
      <w:kern w:val="0"/>
      <w:sz w:val="21"/>
    </w:rPr>
  </w:style>
  <w:style w:type="paragraph" w:customStyle="1" w:styleId="14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0">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表格内文字"/>
    <w:basedOn w:val="32"/>
    <w:qFormat/>
    <w:uiPriority w:val="0"/>
    <w:pPr>
      <w:adjustRightInd w:val="0"/>
    </w:pPr>
    <w:rPr>
      <w:color w:val="000000"/>
      <w:lang w:val="en-GB"/>
    </w:rPr>
  </w:style>
  <w:style w:type="paragraph" w:customStyle="1" w:styleId="153">
    <w:name w:val="样式 样式 首行缩进:  2 字符 + 首行缩进:  2 字符"/>
    <w:basedOn w:val="1"/>
    <w:qFormat/>
    <w:uiPriority w:val="0"/>
    <w:pPr>
      <w:spacing w:line="360" w:lineRule="auto"/>
      <w:ind w:firstLine="480" w:firstLineChars="200"/>
    </w:pPr>
    <w:rPr>
      <w:sz w:val="24"/>
    </w:rPr>
  </w:style>
  <w:style w:type="paragraph" w:customStyle="1" w:styleId="154">
    <w:name w:val="附录3"/>
    <w:basedOn w:val="1"/>
    <w:next w:val="1"/>
    <w:qFormat/>
    <w:uiPriority w:val="0"/>
    <w:pPr>
      <w:tabs>
        <w:tab w:val="left" w:pos="851"/>
      </w:tabs>
      <w:ind w:left="425" w:hanging="425"/>
      <w:outlineLvl w:val="2"/>
    </w:pPr>
    <w:rPr>
      <w:rFonts w:eastAsia="黑体"/>
      <w:b/>
      <w:sz w:val="32"/>
    </w:rPr>
  </w:style>
  <w:style w:type="paragraph" w:customStyle="1" w:styleId="155">
    <w:name w:val="首行缩进"/>
    <w:basedOn w:val="1"/>
    <w:qFormat/>
    <w:uiPriority w:val="0"/>
    <w:pPr>
      <w:tabs>
        <w:tab w:val="left" w:pos="540"/>
      </w:tabs>
      <w:spacing w:line="360" w:lineRule="auto"/>
      <w:ind w:left="540"/>
    </w:pPr>
    <w:rPr>
      <w:rFonts w:eastAsia="仿宋_GB2312"/>
    </w:rPr>
  </w:style>
  <w:style w:type="paragraph" w:customStyle="1" w:styleId="15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二级条标题"/>
    <w:basedOn w:val="128"/>
    <w:next w:val="130"/>
    <w:qFormat/>
    <w:uiPriority w:val="0"/>
    <w:pPr>
      <w:ind w:left="840"/>
      <w:outlineLvl w:val="3"/>
    </w:pPr>
  </w:style>
  <w:style w:type="paragraph" w:customStyle="1" w:styleId="158">
    <w:name w:val="Char2"/>
    <w:basedOn w:val="1"/>
    <w:qFormat/>
    <w:uiPriority w:val="0"/>
    <w:pPr>
      <w:spacing w:line="240" w:lineRule="atLeast"/>
      <w:ind w:left="420" w:firstLine="420"/>
    </w:pPr>
    <w:rPr>
      <w:kern w:val="0"/>
      <w:sz w:val="21"/>
    </w:rPr>
  </w:style>
  <w:style w:type="paragraph" w:customStyle="1" w:styleId="159">
    <w:name w:val="Note"/>
    <w:basedOn w:val="1"/>
    <w:qFormat/>
    <w:uiPriority w:val="0"/>
    <w:pPr>
      <w:pBdr>
        <w:top w:val="single" w:color="auto" w:sz="12" w:space="3"/>
        <w:bottom w:val="single" w:color="auto" w:sz="12" w:space="3"/>
      </w:pBdr>
      <w:spacing w:line="360" w:lineRule="auto"/>
    </w:pPr>
    <w:rPr>
      <w:sz w:val="24"/>
    </w:rPr>
  </w:style>
  <w:style w:type="paragraph" w:customStyle="1" w:styleId="160">
    <w:name w:val="Char1"/>
    <w:basedOn w:val="1"/>
    <w:qFormat/>
    <w:uiPriority w:val="0"/>
    <w:rPr>
      <w:sz w:val="21"/>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Table Contents"/>
    <w:basedOn w:val="3"/>
    <w:qFormat/>
    <w:uiPriority w:val="0"/>
    <w:pPr>
      <w:suppressAutoHyphens/>
      <w:jc w:val="left"/>
    </w:pPr>
    <w:rPr>
      <w:rFonts w:ascii="Times New Roman" w:eastAsia="Times New Roman"/>
      <w:kern w:val="0"/>
      <w:sz w:val="24"/>
    </w:rPr>
  </w:style>
  <w:style w:type="paragraph" w:customStyle="1" w:styleId="163">
    <w:name w:val="样式 行距: 1.5 倍行距1"/>
    <w:basedOn w:val="1"/>
    <w:qFormat/>
    <w:uiPriority w:val="0"/>
    <w:pPr>
      <w:snapToGrid w:val="0"/>
    </w:pPr>
    <w:rPr>
      <w:sz w:val="21"/>
    </w:rPr>
  </w:style>
  <w:style w:type="paragraph" w:customStyle="1" w:styleId="164">
    <w:name w:val="表头文本"/>
    <w:qFormat/>
    <w:uiPriority w:val="0"/>
    <w:pPr>
      <w:jc w:val="center"/>
    </w:pPr>
    <w:rPr>
      <w:rFonts w:ascii="Arial" w:hAnsi="Arial" w:eastAsia="宋体" w:cs="Times New Roman"/>
      <w:b/>
      <w:sz w:val="21"/>
      <w:lang w:val="en-US" w:eastAsia="zh-CN" w:bidi="ar-SA"/>
    </w:rPr>
  </w:style>
  <w:style w:type="paragraph" w:customStyle="1" w:styleId="16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6">
    <w:name w:val="Char Char Char"/>
    <w:basedOn w:val="1"/>
    <w:qFormat/>
    <w:uiPriority w:val="0"/>
    <w:rPr>
      <w:rFonts w:ascii="Tahoma" w:hAnsi="Tahoma"/>
      <w:sz w:val="24"/>
    </w:rPr>
  </w:style>
  <w:style w:type="paragraph" w:customStyle="1" w:styleId="16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样式 宋体 五号 行距: 单倍行距"/>
    <w:basedOn w:val="1"/>
    <w:qFormat/>
    <w:uiPriority w:val="0"/>
    <w:pPr>
      <w:adjustRightInd w:val="0"/>
      <w:jc w:val="left"/>
    </w:pPr>
    <w:rPr>
      <w:rFonts w:ascii="宋体" w:hAnsi="宋体"/>
      <w:kern w:val="0"/>
      <w:sz w:val="21"/>
    </w:rPr>
  </w:style>
  <w:style w:type="paragraph" w:customStyle="1" w:styleId="171">
    <w:name w:val="Char Char Char1"/>
    <w:basedOn w:val="1"/>
    <w:qFormat/>
    <w:uiPriority w:val="0"/>
    <w:rPr>
      <w:rFonts w:ascii="Tahoma" w:hAnsi="Tahoma"/>
      <w:sz w:val="24"/>
    </w:rPr>
  </w:style>
  <w:style w:type="paragraph" w:customStyle="1" w:styleId="172">
    <w:name w:val="样式 首行缩进:  0.74 厘米"/>
    <w:basedOn w:val="1"/>
    <w:qFormat/>
    <w:uiPriority w:val="0"/>
    <w:pPr>
      <w:spacing w:line="360" w:lineRule="auto"/>
      <w:ind w:firstLine="420"/>
    </w:pPr>
    <w:rPr>
      <w:sz w:val="24"/>
    </w:rPr>
  </w:style>
  <w:style w:type="paragraph" w:customStyle="1" w:styleId="173">
    <w:name w:val="Title - Date"/>
    <w:basedOn w:val="55"/>
    <w:next w:val="1"/>
    <w:qFormat/>
    <w:uiPriority w:val="0"/>
    <w:pPr>
      <w:spacing w:before="240" w:after="720"/>
    </w:pPr>
    <w:rPr>
      <w:sz w:val="2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6">
    <w:name w:val="_Style 1"/>
    <w:basedOn w:val="1"/>
    <w:qFormat/>
    <w:uiPriority w:val="34"/>
    <w:pPr>
      <w:ind w:firstLine="420" w:firstLineChars="200"/>
    </w:p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 Char Char Char Char Char Char"/>
    <w:basedOn w:val="1"/>
    <w:qFormat/>
    <w:uiPriority w:val="0"/>
    <w:rPr>
      <w:rFonts w:ascii="Tahoma" w:hAnsi="Tahoma"/>
      <w:sz w:val="24"/>
    </w:rPr>
  </w:style>
  <w:style w:type="paragraph" w:customStyle="1" w:styleId="17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1">
    <w:name w:val="标准正文"/>
    <w:basedOn w:val="25"/>
    <w:qFormat/>
    <w:uiPriority w:val="0"/>
    <w:pPr>
      <w:spacing w:before="60" w:after="60" w:line="360" w:lineRule="auto"/>
      <w:ind w:left="0" w:firstLine="482"/>
    </w:pPr>
    <w:rPr>
      <w:rFonts w:ascii="Arial" w:hAnsi="Arial"/>
      <w:sz w:val="24"/>
    </w:rPr>
  </w:style>
  <w:style w:type="paragraph" w:customStyle="1" w:styleId="182">
    <w:name w:val="段落正文"/>
    <w:basedOn w:val="1"/>
    <w:qFormat/>
    <w:uiPriority w:val="0"/>
    <w:pPr>
      <w:spacing w:beforeLines="50" w:line="360" w:lineRule="auto"/>
      <w:ind w:firstLine="200" w:firstLineChars="200"/>
    </w:pPr>
    <w:rPr>
      <w:spacing w:val="2"/>
      <w:sz w:val="24"/>
    </w:rPr>
  </w:style>
  <w:style w:type="paragraph" w:customStyle="1" w:styleId="183">
    <w:name w:val="二级列表"/>
    <w:basedOn w:val="182"/>
    <w:next w:val="182"/>
    <w:qFormat/>
    <w:uiPriority w:val="0"/>
    <w:pPr>
      <w:tabs>
        <w:tab w:val="left" w:pos="2120"/>
      </w:tabs>
      <w:ind w:firstLine="0" w:firstLineChars="0"/>
    </w:pPr>
    <w:rPr>
      <w:b/>
    </w:rPr>
  </w:style>
  <w:style w:type="paragraph" w:customStyle="1" w:styleId="184">
    <w:name w:val="Char1 Char Char Char1"/>
    <w:basedOn w:val="1"/>
    <w:qFormat/>
    <w:uiPriority w:val="0"/>
    <w:rPr>
      <w:rFonts w:ascii="Tahoma" w:hAnsi="Tahoma"/>
      <w:sz w:val="30"/>
    </w:rPr>
  </w:style>
  <w:style w:type="paragraph" w:customStyle="1" w:styleId="18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6">
    <w:name w:val="Char1 Char Char Char"/>
    <w:basedOn w:val="1"/>
    <w:qFormat/>
    <w:uiPriority w:val="0"/>
    <w:rPr>
      <w:rFonts w:ascii="Tahoma" w:hAnsi="Tahoma"/>
      <w:sz w:val="24"/>
    </w:rPr>
  </w:style>
  <w:style w:type="paragraph" w:customStyle="1" w:styleId="187">
    <w:name w:val="编号正文"/>
    <w:basedOn w:val="188"/>
    <w:qFormat/>
    <w:uiPriority w:val="0"/>
    <w:pPr>
      <w:snapToGrid/>
      <w:spacing w:line="360" w:lineRule="auto"/>
      <w:ind w:left="1407" w:hanging="1047"/>
      <w:jc w:val="left"/>
    </w:pPr>
    <w:rPr>
      <w:rFonts w:eastAsia="仿宋_GB2312"/>
    </w:rPr>
  </w:style>
  <w:style w:type="paragraph" w:customStyle="1" w:styleId="18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9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191">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3">
    <w:name w:val="样式 正文缩进正文（首行缩进两字）表正文正文非缩进特点标题4段1 + 首行缩进:  2 字符"/>
    <w:basedOn w:val="8"/>
    <w:qFormat/>
    <w:uiPriority w:val="0"/>
    <w:pPr>
      <w:ind w:firstLine="480" w:firstLineChars="200"/>
    </w:pPr>
  </w:style>
  <w:style w:type="paragraph" w:customStyle="1" w:styleId="194">
    <w:name w:val="af"/>
    <w:basedOn w:val="1"/>
    <w:qFormat/>
    <w:uiPriority w:val="0"/>
    <w:pPr>
      <w:widowControl/>
      <w:spacing w:line="300" w:lineRule="atLeast"/>
      <w:jc w:val="left"/>
    </w:pPr>
    <w:rPr>
      <w:rFonts w:ascii="宋体" w:hAnsi="宋体"/>
      <w:kern w:val="0"/>
      <w:sz w:val="18"/>
    </w:rPr>
  </w:style>
  <w:style w:type="paragraph" w:customStyle="1" w:styleId="195">
    <w:name w:val="正文4"/>
    <w:basedOn w:val="1"/>
    <w:qFormat/>
    <w:uiPriority w:val="0"/>
    <w:pPr>
      <w:tabs>
        <w:tab w:val="left" w:pos="1275"/>
      </w:tabs>
      <w:spacing w:before="60" w:after="60" w:line="360" w:lineRule="auto"/>
      <w:ind w:left="820" w:leftChars="400" w:hanging="705"/>
    </w:pPr>
    <w:rPr>
      <w:sz w:val="24"/>
    </w:rPr>
  </w:style>
  <w:style w:type="paragraph" w:customStyle="1" w:styleId="1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8">
    <w:name w:val="Style Heading 3h3Heading 3 - oldLevel 3 HeadH3level_3PIM 3se..."/>
    <w:basedOn w:val="7"/>
    <w:qFormat/>
    <w:uiPriority w:val="0"/>
    <w:pPr>
      <w:tabs>
        <w:tab w:val="left" w:pos="709"/>
      </w:tabs>
      <w:spacing w:line="415" w:lineRule="auto"/>
      <w:ind w:left="1260" w:hanging="420"/>
    </w:p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Char11"/>
    <w:basedOn w:val="1"/>
    <w:qFormat/>
    <w:uiPriority w:val="0"/>
    <w:rPr>
      <w:sz w:val="21"/>
    </w:rPr>
  </w:style>
  <w:style w:type="paragraph" w:customStyle="1" w:styleId="20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0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206">
    <w:name w:val="默认段落字体 Para Char Char Char Char Char Char Char"/>
    <w:basedOn w:val="1"/>
    <w:qFormat/>
    <w:uiPriority w:val="0"/>
    <w:rPr>
      <w:rFonts w:ascii="Tahoma" w:hAnsi="Tahoma"/>
      <w:sz w:val="24"/>
    </w:rPr>
  </w:style>
  <w:style w:type="paragraph" w:customStyle="1" w:styleId="20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图标题"/>
    <w:basedOn w:val="1"/>
    <w:qFormat/>
    <w:uiPriority w:val="0"/>
    <w:pPr>
      <w:ind w:left="3780" w:hanging="420"/>
    </w:pPr>
    <w:rPr>
      <w:sz w:val="21"/>
    </w:rPr>
  </w:style>
  <w:style w:type="paragraph" w:customStyle="1" w:styleId="209">
    <w:name w:val="样式 标题 1 + 居中 段前: 6 磅 段后: 6 磅 行距: 1.5 倍行距"/>
    <w:basedOn w:val="5"/>
    <w:qFormat/>
    <w:uiPriority w:val="0"/>
    <w:pPr>
      <w:keepLines/>
      <w:adjustRightInd w:val="0"/>
      <w:spacing w:before="120" w:after="120"/>
    </w:pPr>
    <w:rPr>
      <w:rFonts w:ascii="Times New Roman"/>
      <w:kern w:val="44"/>
    </w:rPr>
  </w:style>
  <w:style w:type="paragraph" w:customStyle="1" w:styleId="210">
    <w:name w:val="table_lines"/>
    <w:basedOn w:val="1"/>
    <w:qFormat/>
    <w:uiPriority w:val="0"/>
    <w:rPr>
      <w:rFonts w:eastAsia="Times New Roman"/>
      <w:lang w:val="de-DE" w:eastAsia="de-DE"/>
    </w:rPr>
  </w:style>
  <w:style w:type="paragraph" w:customStyle="1" w:styleId="211">
    <w:name w:val="关键词"/>
    <w:basedOn w:val="1"/>
    <w:next w:val="1"/>
    <w:qFormat/>
    <w:uiPriority w:val="0"/>
    <w:pPr>
      <w:spacing w:line="360" w:lineRule="auto"/>
    </w:pPr>
    <w:rPr>
      <w:rFonts w:eastAsia="黑体"/>
      <w:sz w:val="20"/>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正文文本缩进 22"/>
    <w:basedOn w:val="1"/>
    <w:qFormat/>
    <w:uiPriority w:val="0"/>
    <w:pPr>
      <w:adjustRightInd w:val="0"/>
      <w:spacing w:before="120"/>
      <w:ind w:firstLine="420"/>
      <w:textAlignment w:val="baseline"/>
    </w:pPr>
    <w:rPr>
      <w:sz w:val="24"/>
    </w:rPr>
  </w:style>
  <w:style w:type="paragraph" w:customStyle="1" w:styleId="218">
    <w:name w:val="Char2 Char Char Char Char Char Char"/>
    <w:basedOn w:val="1"/>
    <w:qFormat/>
    <w:uiPriority w:val="0"/>
    <w:rPr>
      <w:rFonts w:ascii="仿宋_GB2312"/>
      <w:b/>
      <w:sz w:val="30"/>
    </w:rPr>
  </w:style>
  <w:style w:type="paragraph" w:customStyle="1" w:styleId="219">
    <w:name w:val="正文文本缩进 21"/>
    <w:basedOn w:val="1"/>
    <w:qFormat/>
    <w:uiPriority w:val="0"/>
    <w:pPr>
      <w:adjustRightInd w:val="0"/>
      <w:spacing w:before="120"/>
      <w:ind w:firstLine="420"/>
      <w:textAlignment w:val="baseline"/>
    </w:pPr>
    <w:rPr>
      <w:sz w:val="24"/>
    </w:rPr>
  </w:style>
  <w:style w:type="paragraph" w:customStyle="1" w:styleId="220">
    <w:name w:val="Char Char Char Char Char"/>
    <w:basedOn w:val="1"/>
    <w:qFormat/>
    <w:uiPriority w:val="0"/>
    <w:pPr>
      <w:tabs>
        <w:tab w:val="left" w:pos="425"/>
      </w:tabs>
      <w:ind w:left="420" w:hanging="420"/>
    </w:pPr>
    <w:rPr>
      <w:rFonts w:ascii="Tahoma" w:hAnsi="Tahoma"/>
      <w:sz w:val="24"/>
    </w:rPr>
  </w:style>
  <w:style w:type="paragraph" w:customStyle="1" w:styleId="221">
    <w:name w:val="没有缩进（为图形使用）"/>
    <w:basedOn w:val="1"/>
    <w:qFormat/>
    <w:uiPriority w:val="0"/>
    <w:pPr>
      <w:spacing w:before="120" w:after="120" w:line="360" w:lineRule="auto"/>
    </w:pPr>
    <w:rPr>
      <w:sz w:val="24"/>
    </w:rPr>
  </w:style>
  <w:style w:type="paragraph" w:customStyle="1" w:styleId="222">
    <w:name w:val="列出段落1"/>
    <w:basedOn w:val="1"/>
    <w:qFormat/>
    <w:uiPriority w:val="0"/>
    <w:pPr>
      <w:ind w:firstLine="420" w:firstLineChars="200"/>
    </w:pPr>
    <w:rPr>
      <w:rFonts w:ascii="Calibri" w:hAnsi="Calibri"/>
      <w:sz w:val="21"/>
      <w:szCs w:val="22"/>
    </w:rPr>
  </w:style>
  <w:style w:type="paragraph" w:customStyle="1" w:styleId="223">
    <w:name w:val="Char1 Char Char Char2"/>
    <w:basedOn w:val="1"/>
    <w:qFormat/>
    <w:uiPriority w:val="0"/>
    <w:rPr>
      <w:rFonts w:ascii="Tahoma" w:hAnsi="Tahoma"/>
      <w:sz w:val="24"/>
    </w:rPr>
  </w:style>
  <w:style w:type="paragraph" w:customStyle="1" w:styleId="224">
    <w:name w:val="WPSOffice手动目录 1"/>
    <w:qFormat/>
    <w:uiPriority w:val="0"/>
    <w:rPr>
      <w:rFonts w:ascii="Times New Roman" w:hAnsi="Times New Roman" w:eastAsia="宋体" w:cs="Times New Roman"/>
      <w:lang w:val="en-US" w:eastAsia="zh-CN" w:bidi="ar-SA"/>
    </w:rPr>
  </w:style>
  <w:style w:type="paragraph" w:customStyle="1" w:styleId="2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8">
    <w:name w:val="标题3——2"/>
    <w:basedOn w:val="7"/>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29">
    <w:name w:val="图例"/>
    <w:basedOn w:val="1"/>
    <w:qFormat/>
    <w:uiPriority w:val="0"/>
    <w:pPr>
      <w:spacing w:before="120" w:after="120" w:line="360" w:lineRule="auto"/>
      <w:jc w:val="center"/>
    </w:pPr>
    <w:rPr>
      <w:rFonts w:eastAsia="仿宋_GB2312"/>
      <w:b/>
      <w:sz w:val="24"/>
    </w:rPr>
  </w:style>
  <w:style w:type="paragraph" w:customStyle="1" w:styleId="230">
    <w:name w:val="正文文本 21"/>
    <w:basedOn w:val="1"/>
    <w:qFormat/>
    <w:uiPriority w:val="0"/>
    <w:pPr>
      <w:adjustRightInd w:val="0"/>
      <w:spacing w:before="120" w:line="360" w:lineRule="auto"/>
      <w:ind w:firstLine="480"/>
      <w:textAlignment w:val="baseline"/>
    </w:pPr>
    <w:rPr>
      <w:sz w:val="24"/>
    </w:rPr>
  </w:style>
  <w:style w:type="paragraph" w:customStyle="1" w:styleId="2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3">
    <w:name w:val="正文（首行不缩进）"/>
    <w:basedOn w:val="1"/>
    <w:qFormat/>
    <w:uiPriority w:val="0"/>
    <w:pPr>
      <w:autoSpaceDE w:val="0"/>
      <w:autoSpaceDN w:val="0"/>
      <w:adjustRightInd w:val="0"/>
      <w:spacing w:line="360" w:lineRule="auto"/>
      <w:jc w:val="left"/>
    </w:pPr>
    <w:rPr>
      <w:kern w:val="0"/>
      <w:sz w:val="21"/>
    </w:rPr>
  </w:style>
  <w:style w:type="paragraph" w:customStyle="1" w:styleId="234">
    <w:name w:val="table_1stline"/>
    <w:basedOn w:val="1"/>
    <w:qFormat/>
    <w:uiPriority w:val="0"/>
    <w:pPr>
      <w:spacing w:before="120"/>
    </w:pPr>
    <w:rPr>
      <w:rFonts w:eastAsia="Times New Roman"/>
      <w:bCs/>
      <w:lang w:val="de-DE" w:eastAsia="de-DE"/>
    </w:rPr>
  </w:style>
  <w:style w:type="paragraph" w:customStyle="1" w:styleId="235">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6">
    <w:name w:val="正文1"/>
    <w:basedOn w:val="1"/>
    <w:qFormat/>
    <w:uiPriority w:val="0"/>
    <w:pPr>
      <w:spacing w:line="300" w:lineRule="auto"/>
      <w:ind w:firstLine="200" w:firstLineChars="200"/>
    </w:pPr>
    <w:rPr>
      <w:sz w:val="24"/>
    </w:rPr>
  </w:style>
  <w:style w:type="paragraph" w:customStyle="1" w:styleId="237">
    <w:name w:val="正文表格"/>
    <w:basedOn w:val="1"/>
    <w:qFormat/>
    <w:uiPriority w:val="0"/>
    <w:pPr>
      <w:adjustRightInd w:val="0"/>
      <w:spacing w:before="40" w:after="40"/>
    </w:pPr>
    <w:rPr>
      <w:sz w:val="24"/>
    </w:rPr>
  </w:style>
  <w:style w:type="paragraph" w:customStyle="1" w:styleId="238">
    <w:name w:val="表格文本"/>
    <w:qFormat/>
    <w:uiPriority w:val="0"/>
    <w:pPr>
      <w:tabs>
        <w:tab w:val="decimal" w:pos="0"/>
      </w:tabs>
    </w:pPr>
    <w:rPr>
      <w:rFonts w:ascii="Arial" w:hAnsi="Arial" w:eastAsia="宋体" w:cs="Times New Roman"/>
      <w:sz w:val="21"/>
      <w:lang w:val="en-US" w:eastAsia="zh-CN" w:bidi="ar-SA"/>
    </w:rPr>
  </w:style>
  <w:style w:type="paragraph" w:customStyle="1" w:styleId="239">
    <w:name w:val="样式3"/>
    <w:basedOn w:val="5"/>
    <w:next w:val="5"/>
    <w:qFormat/>
    <w:uiPriority w:val="0"/>
    <w:pPr>
      <w:keepLines/>
      <w:adjustRightInd w:val="0"/>
      <w:spacing w:before="340" w:after="330" w:line="576" w:lineRule="auto"/>
    </w:pPr>
    <w:rPr>
      <w:rFonts w:ascii="Times New Roman" w:eastAsia="黑体"/>
      <w:kern w:val="44"/>
      <w:sz w:val="44"/>
    </w:rPr>
  </w:style>
  <w:style w:type="paragraph" w:customStyle="1" w:styleId="240">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3">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4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46">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24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样式1"/>
    <w:basedOn w:val="9"/>
    <w:qFormat/>
    <w:uiPriority w:val="0"/>
    <w:pPr>
      <w:tabs>
        <w:tab w:val="left" w:pos="720"/>
      </w:tabs>
      <w:spacing w:before="500" w:after="260" w:line="560" w:lineRule="atLeast"/>
      <w:ind w:left="420" w:hanging="420"/>
    </w:pPr>
  </w:style>
  <w:style w:type="paragraph" w:customStyle="1" w:styleId="249">
    <w:name w:val="n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1">
    <w:name w:val="默认段落字体 Para Char Char Char Char Char Char Char Char Char1 Char Char Char Char"/>
    <w:basedOn w:val="1"/>
    <w:qFormat/>
    <w:uiPriority w:val="0"/>
    <w:rPr>
      <w:rFonts w:ascii="Tahoma" w:hAnsi="Tahoma"/>
      <w:sz w:val="24"/>
    </w:rPr>
  </w:style>
  <w:style w:type="paragraph" w:customStyle="1" w:styleId="252">
    <w:name w:val="00"/>
    <w:basedOn w:val="1"/>
    <w:qFormat/>
    <w:uiPriority w:val="0"/>
    <w:pPr>
      <w:autoSpaceDE w:val="0"/>
      <w:autoSpaceDN w:val="0"/>
      <w:adjustRightInd w:val="0"/>
      <w:jc w:val="left"/>
    </w:pPr>
    <w:rPr>
      <w:rFonts w:ascii="黑体" w:eastAsia="黑体"/>
      <w:b/>
      <w:kern w:val="0"/>
      <w:sz w:val="20"/>
    </w:rPr>
  </w:style>
  <w:style w:type="paragraph" w:customStyle="1" w:styleId="253">
    <w:name w:val="p0"/>
    <w:basedOn w:val="1"/>
    <w:qFormat/>
    <w:uiPriority w:val="0"/>
    <w:pPr>
      <w:widowControl/>
    </w:pPr>
    <w:rPr>
      <w:kern w:val="0"/>
      <w:szCs w:val="28"/>
    </w:rPr>
  </w:style>
  <w:style w:type="paragraph" w:customStyle="1" w:styleId="25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56">
    <w:name w:val="文本1"/>
    <w:basedOn w:val="1"/>
    <w:qFormat/>
    <w:uiPriority w:val="0"/>
    <w:pPr>
      <w:adjustRightInd w:val="0"/>
      <w:spacing w:line="312" w:lineRule="atLeast"/>
      <w:jc w:val="center"/>
      <w:textAlignment w:val="baseline"/>
    </w:pPr>
    <w:rPr>
      <w:kern w:val="0"/>
      <w:sz w:val="18"/>
    </w:rPr>
  </w:style>
  <w:style w:type="paragraph" w:customStyle="1" w:styleId="257">
    <w:name w:val="È±Ê¡ÎÄ±¾"/>
    <w:basedOn w:val="1"/>
    <w:qFormat/>
    <w:uiPriority w:val="0"/>
    <w:pPr>
      <w:widowControl/>
      <w:overflowPunct w:val="0"/>
      <w:autoSpaceDE w:val="0"/>
      <w:autoSpaceDN w:val="0"/>
      <w:adjustRightInd w:val="0"/>
      <w:jc w:val="left"/>
      <w:textAlignment w:val="baseline"/>
    </w:pPr>
    <w:rPr>
      <w:kern w:val="0"/>
      <w:sz w:val="24"/>
    </w:rPr>
  </w:style>
  <w:style w:type="paragraph" w:styleId="258">
    <w:name w:val="List Paragraph"/>
    <w:basedOn w:val="1"/>
    <w:qFormat/>
    <w:uiPriority w:val="0"/>
    <w:pPr>
      <w:ind w:firstLine="420" w:firstLineChars="200"/>
    </w:pPr>
    <w:rPr>
      <w:rFonts w:ascii="Calibri" w:hAnsi="Calibri"/>
      <w:sz w:val="21"/>
      <w:szCs w:val="22"/>
    </w:rPr>
  </w:style>
  <w:style w:type="paragraph" w:customStyle="1" w:styleId="25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0">
    <w:name w:val="图片文字"/>
    <w:basedOn w:val="1"/>
    <w:qFormat/>
    <w:uiPriority w:val="0"/>
    <w:pPr>
      <w:spacing w:line="240" w:lineRule="atLeast"/>
      <w:jc w:val="center"/>
    </w:pPr>
    <w:rPr>
      <w:sz w:val="21"/>
    </w:rPr>
  </w:style>
  <w:style w:type="paragraph" w:customStyle="1" w:styleId="26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62">
    <w:name w:val="列表项目"/>
    <w:basedOn w:val="1"/>
    <w:qFormat/>
    <w:uiPriority w:val="0"/>
    <w:pPr>
      <w:tabs>
        <w:tab w:val="left" w:pos="420"/>
        <w:tab w:val="left" w:pos="1200"/>
      </w:tabs>
      <w:spacing w:line="288" w:lineRule="auto"/>
      <w:ind w:left="840" w:leftChars="200" w:hanging="420" w:hangingChars="200"/>
    </w:pPr>
    <w:rPr>
      <w:sz w:val="21"/>
    </w:rPr>
  </w:style>
  <w:style w:type="paragraph" w:customStyle="1" w:styleId="263">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sz w:val="36"/>
    </w:rPr>
  </w:style>
  <w:style w:type="paragraph" w:customStyle="1" w:styleId="264">
    <w:name w:val="Item Step in Table"/>
    <w:qFormat/>
    <w:uiPriority w:val="0"/>
    <w:pPr>
      <w:tabs>
        <w:tab w:val="left" w:pos="397"/>
        <w:tab w:val="left" w:pos="1620"/>
      </w:tabs>
      <w:spacing w:before="40" w:after="40"/>
      <w:ind w:left="1620" w:hanging="360"/>
      <w:jc w:val="both"/>
    </w:pPr>
    <w:rPr>
      <w:rFonts w:ascii="Arial" w:hAnsi="Arial" w:eastAsia="宋体" w:cs="Times New Roman"/>
      <w:sz w:val="18"/>
      <w:lang w:val="en-US" w:eastAsia="zh-CN" w:bidi="ar-SA"/>
    </w:rPr>
  </w:style>
  <w:style w:type="paragraph" w:customStyle="1" w:styleId="26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6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7">
    <w:name w:val="样式4"/>
    <w:basedOn w:val="9"/>
    <w:qFormat/>
    <w:uiPriority w:val="0"/>
    <w:pPr>
      <w:adjustRightInd w:val="0"/>
      <w:snapToGrid w:val="0"/>
    </w:pPr>
  </w:style>
  <w:style w:type="paragraph" w:customStyle="1" w:styleId="268">
    <w:name w:val="_Style 266"/>
    <w:qFormat/>
    <w:uiPriority w:val="0"/>
    <w:rPr>
      <w:rFonts w:ascii="Times New Roman" w:hAnsi="Times New Roman" w:eastAsia="宋体" w:cs="Times New Roman"/>
      <w:kern w:val="2"/>
      <w:sz w:val="21"/>
      <w:lang w:val="en-US" w:eastAsia="zh-CN" w:bidi="ar-SA"/>
    </w:rPr>
  </w:style>
  <w:style w:type="character" w:customStyle="1" w:styleId="269">
    <w:name w:val="NormalCharacter"/>
    <w:link w:val="270"/>
    <w:qFormat/>
    <w:uiPriority w:val="0"/>
    <w:rPr>
      <w:rFonts w:eastAsia="宋体"/>
    </w:rPr>
  </w:style>
  <w:style w:type="paragraph" w:customStyle="1" w:styleId="270">
    <w:name w:val="UserStyle_0"/>
    <w:basedOn w:val="1"/>
    <w:link w:val="269"/>
    <w:qFormat/>
    <w:uiPriority w:val="0"/>
    <w:pPr>
      <w:widowControl/>
      <w:spacing w:after="160" w:line="240" w:lineRule="exact"/>
      <w:jc w:val="left"/>
    </w:pPr>
  </w:style>
  <w:style w:type="paragraph" w:customStyle="1" w:styleId="271">
    <w:name w:val="Table Paragraph"/>
    <w:basedOn w:val="1"/>
    <w:qFormat/>
    <w:uiPriority w:val="1"/>
    <w:rPr>
      <w:rFonts w:ascii="宋体" w:hAnsi="宋体" w:cs="宋体"/>
      <w:lang w:val="zh-CN" w:bidi="zh-CN"/>
    </w:rPr>
  </w:style>
  <w:style w:type="paragraph" w:customStyle="1" w:styleId="272">
    <w:name w:val="UserStyle_19"/>
    <w:basedOn w:val="1"/>
    <w:qFormat/>
    <w:uiPriority w:val="0"/>
    <w:pPr>
      <w:ind w:left="541" w:firstLine="480"/>
      <w:jc w:val="left"/>
    </w:pPr>
    <w:rPr>
      <w:rFonts w:ascii="宋体" w:hAnsi="宋体"/>
      <w:kern w:val="0"/>
      <w:sz w:val="22"/>
      <w:szCs w:val="22"/>
    </w:rPr>
  </w:style>
  <w:style w:type="character" w:customStyle="1" w:styleId="273">
    <w:name w:val="font21"/>
    <w:qFormat/>
    <w:uiPriority w:val="0"/>
    <w:rPr>
      <w:rFonts w:hint="eastAsia" w:ascii="宋体" w:hAnsi="宋体" w:eastAsia="宋体" w:cs="宋体"/>
      <w:color w:val="000000"/>
      <w:sz w:val="20"/>
      <w:szCs w:val="20"/>
      <w:u w:val="none"/>
    </w:rPr>
  </w:style>
  <w:style w:type="character" w:customStyle="1" w:styleId="274">
    <w:name w:val="font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B40A2-A9FD-4BFD-A30A-06A7E54B2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8330</Words>
  <Characters>47484</Characters>
  <Lines>395</Lines>
  <Paragraphs>111</Paragraphs>
  <TotalTime>3</TotalTime>
  <ScaleCrop>false</ScaleCrop>
  <LinksUpToDate>false</LinksUpToDate>
  <CharactersWithSpaces>55703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2022-06-02T03:02:00Z</dcterms:created>
  <dc:creator>文理学院资产部</dc:creator>
  <cp:lastModifiedBy>ZZJJ</cp:lastModifiedBy>
  <cp:lastPrinted>2022-06-15T08:39:00Z</cp:lastPrinted>
  <dcterms:modified xsi:type="dcterms:W3CDTF">2022-06-18T10:18:34Z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28D7757BD51F490C85B85DE37FD4E3BC</vt:lpwstr>
  </property>
</Properties>
</file>