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ind w:left="482" w:hanging="643" w:hangingChars="200"/>
        <w:jc w:val="center"/>
        <w:rPr>
          <w:rStyle w:val="8"/>
          <w:rFonts w:hint="eastAsia"/>
          <w:b/>
          <w:bCs/>
          <w:lang w:eastAsia="zh-CN"/>
        </w:rPr>
      </w:pPr>
      <w:bookmarkStart w:id="0" w:name="_Toc15001"/>
      <w:bookmarkEnd w:id="0"/>
      <w:r>
        <w:rPr>
          <w:rStyle w:val="8"/>
          <w:rFonts w:hint="eastAsia"/>
          <w:b/>
          <w:bCs/>
          <w:lang w:eastAsia="zh-CN"/>
        </w:rPr>
        <w:t>采购需求</w:t>
      </w:r>
    </w:p>
    <w:p>
      <w:pPr>
        <w:widowControl/>
        <w:numPr>
          <w:ilvl w:val="0"/>
          <w:numId w:val="1"/>
        </w:numPr>
        <w:snapToGrid w:val="0"/>
        <w:spacing w:line="360" w:lineRule="auto"/>
        <w:ind w:left="482" w:hanging="482" w:hanging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项目概述</w:t>
      </w:r>
    </w:p>
    <w:p>
      <w:pPr>
        <w:widowControl/>
        <w:numPr>
          <w:numId w:val="0"/>
        </w:numPr>
        <w:snapToGrid w:val="0"/>
        <w:spacing w:line="360" w:lineRule="auto"/>
        <w:ind w:leftChars="-200" w:firstLine="960" w:firstLineChars="400"/>
        <w:jc w:val="left"/>
        <w:rPr>
          <w:rFonts w:hint="eastAsia" w:ascii="宋体" w:hAnsi="宋体" w:eastAsia="宋体" w:cs="宋体"/>
          <w:bCs/>
          <w:color w:val="000000"/>
          <w:sz w:val="24"/>
          <w:lang w:eastAsia="zh-CN"/>
        </w:rPr>
      </w:pPr>
      <w:r>
        <w:rPr>
          <w:rFonts w:hint="eastAsia" w:ascii="宋体" w:hAnsi="宋体" w:cs="宋体"/>
          <w:bCs/>
          <w:color w:val="000000"/>
          <w:sz w:val="24"/>
        </w:rPr>
        <w:t>1、项目名称：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沐川县防汛物资采购项目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2、最高限价：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29.50万元</w:t>
      </w:r>
      <w:r>
        <w:rPr>
          <w:rFonts w:hint="eastAsia" w:ascii="Calibri" w:hAnsi="宋体" w:eastAsia="宋体" w:cs="宋体"/>
          <w:color w:val="000000"/>
          <w:sz w:val="24"/>
          <w:szCs w:val="24"/>
          <w:lang w:val="en-US" w:eastAsia="zh-CN" w:bidi="ar"/>
        </w:rPr>
        <w:t>（含货物、材料费（包含辅助、配套材料）、人工费、包装费、运杂费（包含装卸车费、人工运输费）、各种税费等一切费用）</w:t>
      </w:r>
    </w:p>
    <w:p>
      <w:pPr>
        <w:widowControl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3、采购方式：竞争性磋商</w:t>
      </w:r>
      <w:bookmarkStart w:id="1" w:name="_GoBack"/>
      <w:bookmarkEnd w:id="1"/>
    </w:p>
    <w:p>
      <w:pPr>
        <w:widowControl/>
        <w:snapToGrid w:val="0"/>
        <w:spacing w:line="360" w:lineRule="auto"/>
        <w:ind w:left="479" w:leftChars="228"/>
        <w:rPr>
          <w:rFonts w:hint="eastAsia"/>
        </w:rPr>
      </w:pPr>
      <w:r>
        <w:rPr>
          <w:rFonts w:hint="eastAsia" w:ascii="宋体" w:hAnsi="宋体" w:cs="宋体"/>
          <w:bCs/>
          <w:color w:val="000000"/>
          <w:sz w:val="24"/>
        </w:rPr>
        <w:t>4、采购包数：共1包 </w:t>
      </w:r>
      <w:r>
        <w:rPr>
          <w:rFonts w:hint="eastAsia" w:ascii="宋体" w:hAnsi="宋体" w:cs="宋体"/>
          <w:kern w:val="0"/>
          <w:sz w:val="24"/>
        </w:rPr>
        <w:t>              </w:t>
      </w:r>
    </w:p>
    <w:p>
      <w:pPr>
        <w:widowControl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</w:rPr>
        <w:t>5、</w:t>
      </w:r>
      <w:r>
        <w:rPr>
          <w:rFonts w:ascii="宋体" w:hAnsi="宋体" w:cs="宋体"/>
          <w:kern w:val="0"/>
          <w:sz w:val="24"/>
          <w:lang w:bidi="en-US"/>
        </w:rPr>
        <w:t>本次采购项目标的对应的中小企业划分所属行业：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工</w:t>
      </w:r>
      <w:r>
        <w:rPr>
          <w:rFonts w:hint="eastAsia" w:ascii="宋体" w:hAnsi="宋体" w:cs="宋体"/>
          <w:bCs/>
          <w:color w:val="000000"/>
          <w:sz w:val="24"/>
        </w:rPr>
        <w:t>业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。</w:t>
      </w:r>
    </w:p>
    <w:p>
      <w:pPr>
        <w:widowControl/>
        <w:snapToGrid w:val="0"/>
        <w:spacing w:line="360" w:lineRule="auto"/>
        <w:ind w:left="482" w:hanging="482" w:hangingChars="200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t>二、采购清单</w:t>
      </w:r>
    </w:p>
    <w:tbl>
      <w:tblPr>
        <w:tblStyle w:val="6"/>
        <w:tblW w:w="80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828"/>
        <w:gridCol w:w="1214"/>
        <w:gridCol w:w="1502"/>
        <w:gridCol w:w="1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2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12㎡单帐篷</w:t>
            </w:r>
          </w:p>
        </w:tc>
        <w:tc>
          <w:tcPr>
            <w:tcW w:w="12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顶</w:t>
            </w:r>
          </w:p>
        </w:tc>
        <w:tc>
          <w:tcPr>
            <w:tcW w:w="15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核心产品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82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户外帐篷</w:t>
            </w:r>
          </w:p>
        </w:tc>
        <w:tc>
          <w:tcPr>
            <w:tcW w:w="12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顶</w:t>
            </w:r>
          </w:p>
        </w:tc>
        <w:tc>
          <w:tcPr>
            <w:tcW w:w="15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82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折叠床</w:t>
            </w:r>
          </w:p>
        </w:tc>
        <w:tc>
          <w:tcPr>
            <w:tcW w:w="12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5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全方位移动照明灯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5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82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便携式LED匀光勘察灯</w:t>
            </w:r>
          </w:p>
        </w:tc>
        <w:tc>
          <w:tcPr>
            <w:tcW w:w="12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5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便携式照明灯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pStyle w:val="5"/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注：本项目核心产品为：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12㎡单帐篷。</w:t>
      </w:r>
    </w:p>
    <w:p>
      <w:pPr>
        <w:widowControl/>
        <w:snapToGrid w:val="0"/>
        <w:spacing w:line="360" w:lineRule="auto"/>
        <w:ind w:left="482" w:hanging="482" w:hangingChars="200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</w:pPr>
    </w:p>
    <w:p>
      <w:pPr>
        <w:widowControl/>
        <w:snapToGrid w:val="0"/>
        <w:spacing w:line="360" w:lineRule="auto"/>
        <w:ind w:left="482" w:hanging="482" w:hangingChars="200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br w:type="page"/>
      </w: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t>三、技术参数要求</w:t>
      </w:r>
    </w:p>
    <w:tbl>
      <w:tblPr>
        <w:tblStyle w:val="6"/>
        <w:tblW w:w="9868" w:type="dxa"/>
        <w:tblInd w:w="-39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480"/>
        <w:gridCol w:w="76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7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技术参数要求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12㎡单帐篷</w:t>
            </w:r>
          </w:p>
        </w:tc>
        <w:tc>
          <w:tcPr>
            <w:tcW w:w="7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1.帐篷满足MZ/T  011.2—2010规范。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2.规格：帐篷为双坡面直立墙建筑形式，两侧墙各开方形窗户(纱窗)两个，帐篷长3700mm、宽3200mm、脊顶高2670mm、边高1750mm（±30mm），使用面积12㎡；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3.篷布：面料采用333dex×333dtex涤丝PVC，涂层牛津布,浅天蓝色；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★4.篷布面料断裂强力(N/5cm)：径向≥1150，纬向≥1000（需提供有资质的第三方检验（检测）机构出具的有效的检验（检测）报告复印件并加盖供应商鲜章)；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★5.篷布面料撕破强力(N)：径向≥35，纬向≥30（需提供有资质的第三方检验（检测）机构出具的有效的检验（检测）报告复印件并加盖供应商鲜章)；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★6.篷布面料静水压（kpa):≥50（需提供有资质的第三方检验（检测）机构出具的有效的检验（检测）报告复印件并加盖供应商鲜章)；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★7.篷布面料阻燃系数：≤15s（需提供有资质的第三方检验（检测）机构出具的有效的检验（检测）报告复印件并加盖供应商鲜章)；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★8.焊接钢管壁厚：≥1mm（需提供有资质的第三方检验（检测）机构出具的有效的检验（检测）报告复印件并加盖供应商鲜章)；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9.篷体外观质量：面料颜色为浅天蓝色，涂层颜色应与面料颜色一致；帐篷顶坡和墙体两侧居中印刷“应急救灾”字样，白色印字端正清晰；做防雨性能试验或使用过程中，无褪色、掉色和流淌油墨现象；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.篷体质量要求:缝纫部位应平整，线迹顺直，针码均匀；各配件位置准确，各缝制部位应缝制牢固，不得有开线、断线、跳线、破损、返线、皱折、残留针眼、出套等现象:篷顶拼接部位的缝制针眼、定位针眼、垫布针眼等部位的内表面，需用PU胶条贴膜处理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11.篷杆制作要求:篷杆架件各焊接部位需焊接牢固，焊缝完整，手感光滑:篷杆及各金属件喷塑 前需经去毛刺、除油、除锈处理后才能进行喷塑；颜色为乳白色，漆面应饱满、光洁、均匀牢固、不得有露底、裂纹等缺陷；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12.正常情况下使用，连续使用寿命两年以上，能在自重和8级风力荷载作用下安全使用。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注：以上涉及长宽高尺寸的参数误差范围为30mm。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户外帐篷</w:t>
            </w:r>
          </w:p>
        </w:tc>
        <w:tc>
          <w:tcPr>
            <w:tcW w:w="7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1.材质：加粗乌金钢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2.尺寸：2.5m*2.5m（±20mm）            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3.重量：≥14kg                     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4.包装尺寸：1.5m*0.2m*0.2m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5.腿管：3cm*3cm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折叠床</w:t>
            </w:r>
          </w:p>
        </w:tc>
        <w:tc>
          <w:tcPr>
            <w:tcW w:w="7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1.折叠床为钢管床架折叠式，由床面和床架两部分组成，床头附带一个可搭扣的枕头，床面的上半部位加垫塑料板一块，塑料板在使用时向床尾方向推，折叠时向床头方向推；床背面配置可调节束紧带两条；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2.折叠床长1850mm±10mm、宽700mm ±5mm、高350mm；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3.主要材料为666dex×666dtex涤丝PVC涂层布，用于床布；焊接钢管（Q195Φ25mm*1.1mm），用于床架、床腿；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4.白色印字端正,清晰,色度饱满,牢固,不露底色；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5.符合应急救灾专用折叠床标准。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全方位移动照明灯</w:t>
            </w:r>
          </w:p>
        </w:tc>
        <w:tc>
          <w:tcPr>
            <w:tcW w:w="7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1.照明装置符合GB 16796-2009、GB/T 4208-2017、GB/T 15211-2013、GB 26755-2011的检验标准要求；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★2.照明装置含灯盘（4个灯头）、功率≤2000W（需提供有资质的第三方检验（检测）机构出具的有效的检验（检测）报告复印件并加盖供应商鲜章)；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3.发电机功率：≤2000W，油箱额定容量：≥15L，采用4个500W高效节能灯头组成，连续照明时间≥13h，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★4.无线遥控最大遥控距离不小于50米，可在50米范围内分别控制每盏灯的开启和关闭，使用电动或手动气泵可快速控制伸缩气杆的升降。（需提供有资质的第三方检验（检测）机构出具的有效的检验（检测）报告复印件并加盖供应商鲜章)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5.灯盘可单独调节方向，上下可旋转120°，左右可旋转360°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★6.可通过开关按钮及遥控器控制伸缩气缸升降，收缩状态整机高度≥1800mm，最大高度≥4500mm，升至最高处所需时间≤20S，降落至最低高度所需时间≤10S（需提供有资质的第三方检验（检测）机构出具的有效的检验（检测）报告复印件并加盖供应商鲜章)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★7.发电机组外形尺寸：≤650mm×650mm×700mm，整机重量：≤69kg（含灯盘、伸缩气缸、发电机组）（需提供有资质的第三方检验（检测）机构出具的有效的检验（检测）报告复印件并加盖供应商鲜章)；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★8.产品防护性能须符合GB/T 4208-2017规定的IP65要求（需提供有资质的第三方检验（检测）机构出具的有效的检验（检测）报告复印件并加盖供应商鲜章)；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★9.设备运行温度测试：高温试验：温度50土2C、持续时间8h,样机处于非工作状态，试验后样机应能正常工作；低温试验：温度-10土3"C、持续时间8h,样机处于非工作状态，试验后样机应能正常工作；恒定湿热相对湿度(93"-)%、温度25土2°C、持续时间试验48h,样机处于非工作状态，试验后样机应能正常工作（需提供有资质的第三方检验（检测）机构出具的有效的检验（检测）报告复印件并加盖供应商鲜章)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7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便携式LED匀光勘察灯</w:t>
            </w:r>
          </w:p>
        </w:tc>
        <w:tc>
          <w:tcPr>
            <w:tcW w:w="7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1.产品尺寸：160mm*69mm （±2mm）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2.档位：三档（工作光/强光/频闪）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3.充电时间：4-5小时                        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4.额定功率：3*3W / 1000LM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5.额定电压/容量：DC11.1V/4.4Ah防爆电池组（内置）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6.防护等级：IP68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7.产品材料：航空铝合金灯体                    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8.续航时间：强光：≥8H,工作光：≥16H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9.产品重量：≤1.4kg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便携式照明灯</w:t>
            </w:r>
          </w:p>
        </w:tc>
        <w:tc>
          <w:tcPr>
            <w:tcW w:w="7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1.产品尺寸：280*270*185mm（±10mm）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2.产品重量：≤2.2Kg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3.光源类型：LED 光通量≥2400Lm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4.额定电压：11.1V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5.电池容量：10Ah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6.光源平均使用寿命：≥100000h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7.额定功率:放电时间≥8h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8.充电时间：4-6h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9.电池寿命：约1000次循环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10.防护等级：IP65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spacing w:line="240" w:lineRule="auto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11.防腐等级：WF2</w:t>
            </w:r>
          </w:p>
        </w:tc>
      </w:tr>
    </w:tbl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1"/>
          <w:szCs w:val="21"/>
          <w:highlight w:val="none"/>
          <w:lang w:bidi="en-US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highlight w:val="none"/>
          <w:lang w:bidi="en-US"/>
        </w:rPr>
        <w:t>注：</w:t>
      </w:r>
    </w:p>
    <w:p>
      <w:pPr>
        <w:pStyle w:val="4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带“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★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”的为重要参数，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eastAsia="zh-CN"/>
        </w:rPr>
        <w:t>须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提供相关证明材料佐证，未满足或负偏离作扣分处理，不视为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eastAsia="zh-CN"/>
        </w:rPr>
        <w:t>响应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文件无效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eastAsia="zh-CN"/>
        </w:rPr>
        <w:t>；</w:t>
      </w:r>
    </w:p>
    <w:p>
      <w:pPr>
        <w:pStyle w:val="4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highlight w:val="none"/>
        </w:rPr>
        <w:t>上述参数中如涉及相关品牌，不具有指定性，</w:t>
      </w:r>
      <w:r>
        <w:rPr>
          <w:rFonts w:hint="eastAsia" w:ascii="宋体" w:hAnsi="宋体" w:cs="宋体"/>
          <w:b/>
          <w:bCs/>
          <w:color w:val="000000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b/>
          <w:bCs/>
          <w:color w:val="000000"/>
          <w:sz w:val="21"/>
          <w:szCs w:val="21"/>
          <w:highlight w:val="none"/>
        </w:rPr>
        <w:t>可理解为等于或优于以上参数；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8"/>
        <w:rPr>
          <w:rFonts w:hint="eastAsia" w:ascii="宋体" w:hAnsi="宋体" w:cs="宋体"/>
          <w:b/>
          <w:bCs/>
          <w:color w:val="000000"/>
          <w:sz w:val="21"/>
          <w:szCs w:val="21"/>
          <w:highlight w:val="none"/>
          <w:lang w:bidi="en-US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highlight w:val="none"/>
          <w:lang w:val="en-US" w:eastAsia="zh-CN" w:bidi="en-US"/>
        </w:rPr>
        <w:t>3、</w:t>
      </w:r>
      <w:r>
        <w:rPr>
          <w:rFonts w:hint="eastAsia" w:ascii="宋体" w:hAnsi="宋体" w:cs="宋体"/>
          <w:b/>
          <w:bCs/>
          <w:color w:val="000000"/>
          <w:sz w:val="21"/>
          <w:szCs w:val="21"/>
          <w:highlight w:val="none"/>
          <w:lang w:bidi="en-US"/>
        </w:rPr>
        <w:t>如技术参数中标准有更新，在评审过程中以公布的新标准为准；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highlight w:val="none"/>
          <w:lang w:val="en-US" w:eastAsia="zh-CN" w:bidi="en-US"/>
        </w:rPr>
        <w:t>4、</w:t>
      </w:r>
      <w:r>
        <w:rPr>
          <w:rFonts w:hint="eastAsia" w:ascii="宋体" w:hAnsi="宋体" w:cs="宋体"/>
          <w:b/>
          <w:bCs/>
          <w:color w:val="000000"/>
          <w:sz w:val="21"/>
          <w:szCs w:val="21"/>
          <w:highlight w:val="none"/>
          <w:lang w:bidi="en-US"/>
        </w:rPr>
        <w:t>技术参数中要求提供证明材料的以证明材料为准，未要求提供证明材料的以响应为准。</w:t>
      </w:r>
    </w:p>
    <w:p>
      <w:pPr>
        <w:snapToGrid w:val="0"/>
        <w:spacing w:line="360" w:lineRule="auto"/>
        <w:rPr>
          <w:rFonts w:hint="eastAsia" w:hAnsi="宋体" w:cs="宋体"/>
          <w:b/>
          <w:bCs/>
          <w:color w:val="000000"/>
          <w:sz w:val="24"/>
          <w:lang w:eastAsia="zh-CN"/>
        </w:rPr>
      </w:pPr>
    </w:p>
    <w:p>
      <w:pPr>
        <w:snapToGrid w:val="0"/>
        <w:spacing w:line="360" w:lineRule="auto"/>
        <w:rPr>
          <w:rFonts w:hint="eastAsia" w:hAnsi="宋体" w:cs="宋体"/>
          <w:b/>
          <w:bCs/>
          <w:color w:val="000000"/>
          <w:sz w:val="24"/>
          <w:lang w:eastAsia="zh-CN"/>
        </w:rPr>
      </w:pPr>
      <w:r>
        <w:rPr>
          <w:rFonts w:hint="eastAsia" w:hAnsi="宋体" w:cs="宋体"/>
          <w:b/>
          <w:bCs/>
          <w:color w:val="000000"/>
          <w:sz w:val="24"/>
          <w:lang w:eastAsia="zh-CN"/>
        </w:rPr>
        <w:t>四、售后服务要求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b/>
          <w:bCs/>
          <w:kern w:val="0"/>
          <w:sz w:val="24"/>
          <w:szCs w:val="22"/>
          <w:lang w:val="en-US" w:eastAsia="zh-CN" w:bidi="ar-SA"/>
        </w:rPr>
      </w:pPr>
      <w:r>
        <w:rPr>
          <w:rStyle w:val="9"/>
          <w:rFonts w:hint="eastAsia" w:ascii="宋体" w:hAnsi="宋体"/>
          <w:color w:val="auto"/>
          <w:sz w:val="24"/>
          <w:szCs w:val="24"/>
          <w:highlight w:val="none"/>
          <w:lang w:val="en-US"/>
        </w:rPr>
        <w:t>1、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2"/>
          <w:lang w:val="en-US" w:eastAsia="zh-CN" w:bidi="ar-SA"/>
        </w:rPr>
        <w:t xml:space="preserve">本项目所供货物质保期不低于国家行业标准规定的期限，质保期内有质量问题，须免费包修或更换，质保期外，成交供应商还需提供不高于市场价的终身维护服务。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2"/>
          <w:lang w:val="en-US" w:eastAsia="zh-CN" w:bidi="ar-SA"/>
        </w:rPr>
        <w:t>2、供应商接到采购人售后服务要求后 1 小时内响应，6 小时内到达现场，12 小时内完成售后服务。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2"/>
          <w:lang w:val="en-US" w:eastAsia="zh-CN" w:bidi="ar-SA"/>
        </w:rPr>
        <w:t xml:space="preserve">3、运输方式和费用负担：供货商免费将货物送达项目完成地点，运输工具及费用由成交供应商负担。供应商应自行组织卸货，并负责卸货过程的安全，保证产品完整，如出现短缺、破损、变质和不符合要求的，应无偿补足或调换，以上费用应由供应商自行承担。 </w:t>
      </w:r>
    </w:p>
    <w:p>
      <w:pPr>
        <w:pStyle w:val="2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2"/>
          <w:lang w:val="en-US" w:eastAsia="zh-CN" w:bidi="ar-SA"/>
        </w:rPr>
        <w:t>4、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须指派专人负责与采购人联系售后服务事宜。</w:t>
      </w:r>
    </w:p>
    <w:p>
      <w:pPr>
        <w:snapToGrid w:val="0"/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hAnsi="宋体" w:cs="宋体"/>
          <w:b/>
          <w:bCs/>
          <w:color w:val="000000"/>
          <w:sz w:val="24"/>
          <w:lang w:eastAsia="zh-CN"/>
        </w:rPr>
        <w:t>五</w:t>
      </w:r>
      <w:r>
        <w:rPr>
          <w:rFonts w:hint="eastAsia" w:ascii="宋体" w:hAnsi="宋体" w:cs="宋体"/>
          <w:b/>
          <w:bCs/>
          <w:color w:val="000000"/>
          <w:sz w:val="24"/>
        </w:rPr>
        <w:t>、</w:t>
      </w:r>
      <w:r>
        <w:rPr>
          <w:rFonts w:hint="eastAsia" w:ascii="宋体" w:hAnsi="宋体" w:cs="宋体"/>
          <w:b/>
          <w:bCs/>
          <w:color w:val="000000"/>
          <w:sz w:val="24"/>
          <w:lang w:eastAsia="zh-CN"/>
        </w:rPr>
        <w:t>商务</w:t>
      </w:r>
      <w:r>
        <w:rPr>
          <w:rFonts w:hint="eastAsia" w:ascii="宋体" w:hAnsi="宋体" w:cs="宋体"/>
          <w:b/>
          <w:bCs/>
          <w:color w:val="000000"/>
          <w:sz w:val="24"/>
        </w:rPr>
        <w:t>要求</w:t>
      </w:r>
      <w:r>
        <w:rPr>
          <w:rFonts w:hint="eastAsia" w:ascii="宋体" w:hAnsi="宋体" w:cs="宋体"/>
          <w:b/>
          <w:color w:val="000000"/>
          <w:sz w:val="24"/>
        </w:rPr>
        <w:t>（实质性要求）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2"/>
          <w:lang w:val="en-US" w:eastAsia="zh-CN" w:bidi="ar-SA"/>
        </w:rPr>
        <w:t>1、供货要求：</w:t>
      </w:r>
      <w:r>
        <w:rPr>
          <w:rFonts w:hint="eastAsia" w:ascii="宋体" w:hAnsi="宋体" w:eastAsia="宋体" w:cs="宋体"/>
          <w:kern w:val="0"/>
          <w:sz w:val="24"/>
          <w:szCs w:val="22"/>
          <w:lang w:val="en-US" w:eastAsia="zh-CN" w:bidi="ar-SA"/>
        </w:rPr>
        <w:t xml:space="preserve">货物质量符合国家有关质量标准。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2"/>
          <w:lang w:val="en-US" w:eastAsia="zh-CN" w:bidi="ar-SA"/>
        </w:rPr>
        <w:t>2、报价要求：</w:t>
      </w:r>
      <w:r>
        <w:rPr>
          <w:rFonts w:hint="eastAsia" w:ascii="Calibri" w:hAnsi="宋体" w:eastAsia="宋体" w:cs="宋体"/>
          <w:color w:val="000000"/>
          <w:sz w:val="24"/>
          <w:szCs w:val="24"/>
          <w:lang w:val="en-US" w:eastAsia="zh-CN" w:bidi="ar"/>
        </w:rPr>
        <w:t>报价包含货物、材料费（包含辅助、配套材料）、人工费、包装费、运杂费（包含装卸车费、人工运输费）、各种税费等一切费用。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因</w:t>
      </w:r>
      <w:r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自身原因造成漏报、少报皆由其自行承担责任，采购人不再补偿。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2"/>
          <w:highlight w:val="none"/>
          <w:lang w:val="en-US" w:eastAsia="zh-CN" w:bidi="ar-SA"/>
        </w:rPr>
        <w:t>3、交货时间：</w:t>
      </w:r>
      <w:r>
        <w:rPr>
          <w:rFonts w:hint="eastAsia" w:ascii="宋体" w:hAnsi="宋体" w:eastAsia="宋体" w:cs="宋体"/>
          <w:kern w:val="0"/>
          <w:sz w:val="24"/>
          <w:szCs w:val="22"/>
          <w:highlight w:val="none"/>
          <w:lang w:val="en-US" w:eastAsia="zh-CN" w:bidi="ar-SA"/>
        </w:rPr>
        <w:t xml:space="preserve">签订合同之日起15日历天内交货。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2"/>
          <w:highlight w:val="none"/>
          <w:lang w:val="en-US" w:eastAsia="zh-CN" w:bidi="ar-SA"/>
        </w:rPr>
        <w:t>4、供货地点：</w:t>
      </w:r>
      <w:r>
        <w:rPr>
          <w:rFonts w:hint="eastAsia" w:ascii="宋体" w:hAnsi="宋体" w:eastAsia="宋体" w:cs="宋体"/>
          <w:kern w:val="0"/>
          <w:sz w:val="24"/>
          <w:szCs w:val="22"/>
          <w:highlight w:val="none"/>
          <w:lang w:val="en-US" w:eastAsia="zh-CN" w:bidi="ar-SA"/>
        </w:rPr>
        <w:t xml:space="preserve">采购人指定地点。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2"/>
          <w:highlight w:val="none"/>
          <w:lang w:val="en-US" w:eastAsia="zh-CN" w:bidi="ar-SA"/>
        </w:rPr>
        <w:t>5、付款方式：</w:t>
      </w:r>
      <w:r>
        <w:rPr>
          <w:rFonts w:hint="eastAsia" w:ascii="宋体" w:hAnsi="宋体" w:eastAsia="宋体" w:cs="宋体"/>
          <w:kern w:val="0"/>
          <w:sz w:val="24"/>
          <w:szCs w:val="22"/>
          <w:highlight w:val="none"/>
          <w:lang w:val="en-US" w:eastAsia="zh-CN" w:bidi="ar-SA"/>
        </w:rPr>
        <w:t xml:space="preserve">全部货物验收合格并交付使用后一次性支付100%合同款。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baseline"/>
        <w:rPr>
          <w:rStyle w:val="9"/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2"/>
          <w:lang w:val="en-US" w:eastAsia="zh-CN" w:bidi="ar-SA"/>
        </w:rPr>
        <w:t>6、质保期：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2"/>
          <w:lang w:val="en-US" w:eastAsia="zh-CN" w:bidi="ar-SA"/>
        </w:rPr>
        <w:t>整体质保期限1年</w:t>
      </w:r>
      <w:r>
        <w:rPr>
          <w:rStyle w:val="9"/>
          <w:rFonts w:ascii="宋体" w:hAnsi="宋体"/>
          <w:color w:val="auto"/>
          <w:sz w:val="24"/>
          <w:szCs w:val="24"/>
          <w:highlight w:val="none"/>
        </w:rPr>
        <w:t>（自验收合格之日起计算质保期，质保期不低于国家行业标准规定的期限，产品有另行要求的，以另行要求为准）</w:t>
      </w:r>
      <w:r>
        <w:rPr>
          <w:rStyle w:val="9"/>
          <w:rFonts w:hint="eastAsia" w:ascii="宋体" w:hAnsi="宋体"/>
          <w:color w:val="auto"/>
          <w:sz w:val="24"/>
          <w:szCs w:val="24"/>
          <w:highlight w:val="none"/>
        </w:rPr>
        <w:t>。</w:t>
      </w:r>
    </w:p>
    <w:p>
      <w:pPr>
        <w:pStyle w:val="10"/>
        <w:spacing w:line="360" w:lineRule="auto"/>
        <w:ind w:firstLine="482" w:firstLineChars="200"/>
        <w:rPr>
          <w:rStyle w:val="9"/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Style w:val="9"/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7</w:t>
      </w:r>
      <w:r>
        <w:rPr>
          <w:rStyle w:val="9"/>
          <w:rFonts w:ascii="宋体" w:hAnsi="宋体" w:cs="宋体"/>
          <w:b/>
          <w:bCs/>
          <w:color w:val="auto"/>
          <w:sz w:val="24"/>
          <w:szCs w:val="24"/>
          <w:highlight w:val="none"/>
        </w:rPr>
        <w:t>、验收标准和方法：</w:t>
      </w:r>
    </w:p>
    <w:p>
      <w:pPr>
        <w:pStyle w:val="10"/>
        <w:spacing w:line="360" w:lineRule="auto"/>
        <w:ind w:firstLine="480"/>
        <w:rPr>
          <w:rStyle w:val="9"/>
          <w:rFonts w:ascii="宋体" w:hAnsi="宋体"/>
          <w:color w:val="auto"/>
          <w:sz w:val="24"/>
          <w:szCs w:val="24"/>
          <w:highlight w:val="none"/>
        </w:rPr>
      </w:pPr>
      <w:r>
        <w:rPr>
          <w:rStyle w:val="9"/>
          <w:rFonts w:ascii="宋体" w:hAnsi="宋体"/>
          <w:color w:val="auto"/>
          <w:sz w:val="24"/>
          <w:szCs w:val="24"/>
          <w:highlight w:val="none"/>
        </w:rPr>
        <w:t>（1）验收标准：按国家有关规定以及采购人</w:t>
      </w:r>
      <w:r>
        <w:rPr>
          <w:rStyle w:val="9"/>
          <w:rFonts w:hint="eastAsia" w:ascii="宋体" w:hAnsi="宋体"/>
          <w:color w:val="auto"/>
          <w:sz w:val="24"/>
          <w:szCs w:val="24"/>
          <w:highlight w:val="none"/>
        </w:rPr>
        <w:t>参数</w:t>
      </w:r>
      <w:r>
        <w:rPr>
          <w:rStyle w:val="9"/>
          <w:rFonts w:ascii="宋体" w:hAnsi="宋体"/>
          <w:color w:val="auto"/>
          <w:sz w:val="24"/>
          <w:szCs w:val="24"/>
          <w:highlight w:val="none"/>
        </w:rPr>
        <w:t>文件的质量要求和技术指标、成交供应商的响应文件及承诺与本项目合同约定标准进行验收。</w:t>
      </w:r>
    </w:p>
    <w:p>
      <w:pPr>
        <w:pStyle w:val="10"/>
        <w:spacing w:line="360" w:lineRule="auto"/>
        <w:ind w:firstLine="480"/>
        <w:rPr>
          <w:rStyle w:val="9"/>
          <w:rFonts w:ascii="宋体" w:hAnsi="宋体"/>
          <w:color w:val="auto"/>
          <w:sz w:val="24"/>
          <w:szCs w:val="24"/>
          <w:highlight w:val="none"/>
        </w:rPr>
      </w:pPr>
      <w:r>
        <w:rPr>
          <w:rStyle w:val="9"/>
          <w:rFonts w:ascii="宋体" w:hAnsi="宋体"/>
          <w:color w:val="auto"/>
          <w:sz w:val="24"/>
          <w:szCs w:val="24"/>
          <w:highlight w:val="none"/>
        </w:rPr>
        <w:t>（2）成交供应商应将所提供货物的装箱清单、配件、随机工具、用户使用手册、原厂保修卡等资料交付给采购人；成交供应商不能完整交付货物及本款规定的单证和工具的，必须负责补齐，否则视为未按合同约定交货。</w:t>
      </w:r>
    </w:p>
    <w:p>
      <w:pPr>
        <w:pStyle w:val="10"/>
        <w:spacing w:line="360" w:lineRule="auto"/>
        <w:ind w:firstLine="480"/>
        <w:rPr>
          <w:rStyle w:val="9"/>
          <w:rFonts w:ascii="宋体" w:hAnsi="宋体"/>
          <w:color w:val="auto"/>
          <w:sz w:val="24"/>
          <w:szCs w:val="24"/>
          <w:highlight w:val="none"/>
        </w:rPr>
      </w:pPr>
      <w:r>
        <w:rPr>
          <w:rStyle w:val="9"/>
          <w:rFonts w:ascii="宋体" w:hAnsi="宋体"/>
          <w:color w:val="auto"/>
          <w:sz w:val="24"/>
          <w:szCs w:val="24"/>
          <w:highlight w:val="none"/>
        </w:rPr>
        <w:t>（3）如货物经成交供应商3次维修仍不能达到合同约定的质量标准，采购人有权退货，并视作成交人不能交付货物而须支付违约赔偿金给采购人，采购人还可依法追究成交人的违约责任。 </w:t>
      </w:r>
    </w:p>
    <w:p>
      <w:pPr>
        <w:spacing w:line="360" w:lineRule="auto"/>
        <w:ind w:firstLine="480" w:firstLineChars="200"/>
      </w:pPr>
      <w:r>
        <w:rPr>
          <w:rStyle w:val="9"/>
          <w:rFonts w:ascii="宋体" w:hAnsi="宋体"/>
          <w:color w:val="auto"/>
          <w:sz w:val="24"/>
          <w:szCs w:val="24"/>
          <w:highlight w:val="none"/>
        </w:rPr>
        <w:t>（4）其他未尽事宜，</w:t>
      </w:r>
      <w:r>
        <w:rPr>
          <w:rStyle w:val="9"/>
          <w:rFonts w:hint="eastAsia" w:ascii="宋体" w:hAnsi="宋体"/>
          <w:color w:val="auto"/>
          <w:sz w:val="24"/>
          <w:szCs w:val="24"/>
          <w:highlight w:val="none"/>
        </w:rPr>
        <w:t>参照</w:t>
      </w:r>
      <w:r>
        <w:rPr>
          <w:rStyle w:val="9"/>
          <w:rFonts w:ascii="宋体" w:hAnsi="宋体"/>
          <w:color w:val="auto"/>
          <w:sz w:val="24"/>
          <w:szCs w:val="24"/>
          <w:highlight w:val="none"/>
        </w:rPr>
        <w:t>《财政部关于进一步加强政府采购需求和履约验收管理的指导意见》(财库〔2016〕205 号)的要求进行。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F1FCB"/>
    <w:multiLevelType w:val="singleLevel"/>
    <w:tmpl w:val="1D3F1FC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A151F91"/>
    <w:multiLevelType w:val="singleLevel"/>
    <w:tmpl w:val="6A151F9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540BC"/>
    <w:rsid w:val="6D45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6"/>
      <w:szCs w:val="32"/>
    </w:rPr>
  </w:style>
  <w:style w:type="paragraph" w:styleId="5">
    <w:name w:val="Body Text First Indent"/>
    <w:basedOn w:val="2"/>
    <w:next w:val="1"/>
    <w:qFormat/>
    <w:uiPriority w:val="99"/>
    <w:pPr>
      <w:widowControl w:val="0"/>
      <w:spacing w:after="120"/>
      <w:ind w:firstLine="420" w:firstLineChars="100"/>
      <w:jc w:val="both"/>
    </w:pPr>
    <w:rPr>
      <w:kern w:val="2"/>
      <w:sz w:val="21"/>
      <w:szCs w:val="24"/>
      <w:lang w:val="en-US" w:eastAsia="zh-CN" w:bidi="ar-SA"/>
    </w:rPr>
  </w:style>
  <w:style w:type="character" w:customStyle="1" w:styleId="8">
    <w:name w:val="标题 1 Char"/>
    <w:link w:val="3"/>
    <w:uiPriority w:val="0"/>
    <w:rPr>
      <w:b/>
      <w:bCs/>
      <w:kern w:val="44"/>
      <w:sz w:val="32"/>
      <w:szCs w:val="44"/>
    </w:rPr>
  </w:style>
  <w:style w:type="character" w:customStyle="1" w:styleId="9">
    <w:name w:val="NormalCharacter"/>
    <w:qFormat/>
    <w:uiPriority w:val="0"/>
    <w:rPr>
      <w:kern w:val="2"/>
      <w:sz w:val="21"/>
      <w:szCs w:val="24"/>
      <w:lang w:val="en-US" w:eastAsia="zh-CN" w:bidi="ar-SA"/>
    </w:rPr>
  </w:style>
  <w:style w:type="paragraph" w:customStyle="1" w:styleId="10">
    <w:name w:val="UserStyle_26"/>
    <w:basedOn w:val="1"/>
    <w:qFormat/>
    <w:uiPriority w:val="0"/>
    <w:pPr>
      <w:spacing w:line="400" w:lineRule="exact"/>
      <w:ind w:firstLine="200" w:firstLineChars="200"/>
      <w:textAlignment w:val="baseline"/>
    </w:pPr>
    <w:rPr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2022-06-20T02:00:00Z</dcterms:created>
  <dc:creator></dc:creator>
  <cp:lastModifiedBy></cp:lastModifiedBy>
  <dcterms:modified xsi:type="dcterms:W3CDTF">2022-06-20T02:01:25Z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