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rPr>
          <w:rFonts w:hint="eastAsia"/>
          <w:lang w:eastAsia="zh-CN"/>
        </w:rPr>
      </w:pPr>
      <w:r>
        <w:rPr>
          <w:rFonts w:hint="eastAsia"/>
          <w:lang w:eastAsia="zh-CN"/>
        </w:rPr>
        <w:t>采购需求</w:t>
      </w:r>
    </w:p>
    <w:p>
      <w:pPr>
        <w:spacing w:line="240" w:lineRule="auto"/>
        <w:rPr>
          <w:rFonts w:hint="eastAsia" w:ascii="宋体" w:hAnsi="宋体" w:cs="宋体"/>
          <w:b/>
          <w:sz w:val="24"/>
        </w:rPr>
      </w:pPr>
      <w:r>
        <w:rPr>
          <w:rFonts w:hint="eastAsia" w:ascii="宋体" w:hAnsi="宋体" w:cs="宋体"/>
          <w:b/>
          <w:sz w:val="24"/>
        </w:rPr>
        <w:t>一、项目概况</w:t>
      </w:r>
    </w:p>
    <w:p>
      <w:pPr>
        <w:pStyle w:val="7"/>
        <w:widowControl/>
        <w:spacing w:line="360" w:lineRule="auto"/>
        <w:ind w:firstLine="480" w:firstLineChars="200"/>
        <w:jc w:val="both"/>
        <w:rPr>
          <w:rFonts w:hint="eastAsia" w:ascii="宋体" w:hAnsi="宋体" w:cs="宋体"/>
          <w:bCs/>
          <w:kern w:val="0"/>
          <w:sz w:val="24"/>
          <w:szCs w:val="24"/>
        </w:rPr>
      </w:pPr>
      <w:r>
        <w:rPr>
          <w:rFonts w:hint="eastAsia" w:ascii="宋体" w:hAnsi="宋体" w:cs="宋体"/>
          <w:bCs/>
          <w:kern w:val="0"/>
          <w:sz w:val="24"/>
          <w:szCs w:val="24"/>
        </w:rPr>
        <w:t>1、项目概述：本项目为</w:t>
      </w:r>
      <w:r>
        <w:rPr>
          <w:rFonts w:hint="eastAsia" w:ascii="宋体" w:hAnsi="宋体" w:cs="宋体"/>
          <w:bCs/>
          <w:kern w:val="0"/>
          <w:sz w:val="24"/>
          <w:szCs w:val="24"/>
          <w:lang w:eastAsia="zh-CN"/>
        </w:rPr>
        <w:t>乐山师范学院2022-2023年食堂零星物资（小吃、</w:t>
      </w:r>
      <w:bookmarkStart w:id="0" w:name="_GoBack"/>
      <w:bookmarkEnd w:id="0"/>
      <w:r>
        <w:rPr>
          <w:rFonts w:hint="eastAsia" w:ascii="宋体" w:hAnsi="宋体" w:cs="宋体"/>
          <w:bCs/>
          <w:kern w:val="0"/>
          <w:sz w:val="24"/>
          <w:szCs w:val="24"/>
          <w:lang w:eastAsia="zh-CN"/>
        </w:rPr>
        <w:t>糕点类）采购项目（第三次）</w:t>
      </w:r>
      <w:r>
        <w:rPr>
          <w:rFonts w:hint="eastAsia" w:ascii="宋体" w:hAnsi="宋体" w:cs="宋体"/>
          <w:bCs/>
          <w:kern w:val="0"/>
          <w:sz w:val="24"/>
          <w:szCs w:val="24"/>
        </w:rPr>
        <w:t>，</w:t>
      </w:r>
      <w:r>
        <w:rPr>
          <w:rFonts w:hint="eastAsia" w:ascii="宋体" w:hAnsi="宋体"/>
          <w:bCs/>
          <w:sz w:val="24"/>
          <w:szCs w:val="24"/>
        </w:rPr>
        <w:t>由1名供应商配送。</w:t>
      </w:r>
    </w:p>
    <w:p>
      <w:pPr>
        <w:pStyle w:val="7"/>
        <w:widowControl/>
        <w:ind w:firstLine="480" w:firstLineChars="200"/>
        <w:jc w:val="both"/>
        <w:rPr>
          <w:rFonts w:hint="eastAsia" w:ascii="宋体" w:hAnsi="宋体" w:cs="宋体"/>
          <w:bCs/>
          <w:kern w:val="0"/>
          <w:sz w:val="24"/>
          <w:szCs w:val="24"/>
        </w:rPr>
      </w:pPr>
      <w:r>
        <w:rPr>
          <w:rFonts w:hint="eastAsia" w:ascii="宋体" w:hAnsi="宋体" w:cs="宋体"/>
          <w:bCs/>
          <w:kern w:val="0"/>
          <w:sz w:val="24"/>
          <w:szCs w:val="24"/>
        </w:rPr>
        <w:t>2、资金来源：非财政性资金。</w:t>
      </w:r>
    </w:p>
    <w:p>
      <w:pPr>
        <w:pStyle w:val="7"/>
        <w:widowControl/>
        <w:spacing w:line="360" w:lineRule="auto"/>
        <w:ind w:firstLine="480" w:firstLineChars="200"/>
        <w:jc w:val="both"/>
        <w:rPr>
          <w:rFonts w:hint="eastAsia" w:ascii="宋体" w:hAnsi="宋体" w:cs="宋体"/>
          <w:bCs/>
          <w:kern w:val="0"/>
          <w:sz w:val="24"/>
          <w:szCs w:val="24"/>
        </w:rPr>
      </w:pPr>
      <w:r>
        <w:rPr>
          <w:rFonts w:hint="eastAsia" w:ascii="宋体" w:hAnsi="宋体" w:cs="宋体"/>
          <w:bCs/>
          <w:kern w:val="0"/>
          <w:sz w:val="24"/>
          <w:szCs w:val="24"/>
        </w:rPr>
        <w:t>3、最高限价：本项目为单价采购项目，投标单价不得超过标的单价最高限价。</w:t>
      </w:r>
    </w:p>
    <w:p>
      <w:pPr>
        <w:pStyle w:val="7"/>
        <w:widowControl/>
        <w:ind w:firstLine="480" w:firstLineChars="200"/>
        <w:jc w:val="both"/>
        <w:rPr>
          <w:rFonts w:hint="eastAsia" w:ascii="宋体" w:hAnsi="宋体" w:cs="宋体"/>
          <w:bCs/>
          <w:kern w:val="0"/>
          <w:sz w:val="24"/>
          <w:szCs w:val="24"/>
        </w:rPr>
      </w:pPr>
      <w:r>
        <w:rPr>
          <w:rFonts w:hint="eastAsia" w:ascii="宋体" w:hAnsi="宋体" w:cs="宋体"/>
          <w:bCs/>
          <w:kern w:val="0"/>
          <w:sz w:val="24"/>
          <w:szCs w:val="24"/>
        </w:rPr>
        <w:t>4、采购方式：公开招标</w:t>
      </w:r>
    </w:p>
    <w:p>
      <w:pPr>
        <w:pStyle w:val="7"/>
        <w:widowControl/>
        <w:ind w:firstLine="480" w:firstLineChars="200"/>
        <w:jc w:val="both"/>
        <w:rPr>
          <w:rFonts w:hint="eastAsia" w:ascii="宋体" w:hAnsi="宋体" w:cs="宋体"/>
          <w:bCs/>
          <w:kern w:val="0"/>
          <w:sz w:val="24"/>
          <w:szCs w:val="24"/>
        </w:rPr>
      </w:pPr>
      <w:r>
        <w:rPr>
          <w:rFonts w:hint="eastAsia" w:ascii="宋体" w:hAnsi="宋体" w:cs="宋体"/>
          <w:bCs/>
          <w:kern w:val="0"/>
          <w:sz w:val="24"/>
          <w:szCs w:val="24"/>
        </w:rPr>
        <w:t>5、本次采购项目标的对应的中小企业划分所属行业：工业。</w:t>
      </w:r>
    </w:p>
    <w:p>
      <w:pPr>
        <w:pStyle w:val="7"/>
        <w:widowControl/>
        <w:jc w:val="both"/>
        <w:rPr>
          <w:rFonts w:hint="eastAsia" w:ascii="宋体" w:hAnsi="宋体" w:cs="宋体"/>
          <w:b/>
          <w:kern w:val="0"/>
          <w:sz w:val="24"/>
          <w:szCs w:val="24"/>
        </w:rPr>
      </w:pPr>
      <w:r>
        <w:rPr>
          <w:rFonts w:hint="eastAsia" w:ascii="宋体" w:hAnsi="宋体" w:cs="宋体"/>
          <w:b/>
          <w:kern w:val="0"/>
          <w:sz w:val="24"/>
          <w:szCs w:val="24"/>
        </w:rPr>
        <w:t>二、采购清单</w:t>
      </w:r>
    </w:p>
    <w:tbl>
      <w:tblPr>
        <w:tblStyle w:val="5"/>
        <w:tblW w:w="87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851"/>
        <w:gridCol w:w="1442"/>
        <w:gridCol w:w="1843"/>
        <w:gridCol w:w="1418"/>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512" w:type="dxa"/>
            <w:noWrap w:val="0"/>
            <w:vAlign w:val="center"/>
          </w:tcPr>
          <w:p>
            <w:pPr>
              <w:jc w:val="center"/>
              <w:rPr>
                <w:rFonts w:hint="eastAsia"/>
                <w:b/>
                <w:bCs/>
              </w:rPr>
            </w:pPr>
            <w:r>
              <w:rPr>
                <w:rFonts w:hint="eastAsia"/>
                <w:b/>
                <w:bCs/>
              </w:rPr>
              <w:t>标的名称</w:t>
            </w:r>
          </w:p>
        </w:tc>
        <w:tc>
          <w:tcPr>
            <w:tcW w:w="851" w:type="dxa"/>
            <w:noWrap w:val="0"/>
            <w:vAlign w:val="center"/>
          </w:tcPr>
          <w:p>
            <w:pPr>
              <w:jc w:val="center"/>
              <w:rPr>
                <w:b/>
                <w:bCs/>
              </w:rPr>
            </w:pPr>
            <w:r>
              <w:rPr>
                <w:b/>
                <w:bCs/>
              </w:rPr>
              <w:t>单位</w:t>
            </w:r>
          </w:p>
        </w:tc>
        <w:tc>
          <w:tcPr>
            <w:tcW w:w="1442" w:type="dxa"/>
            <w:noWrap w:val="0"/>
            <w:vAlign w:val="center"/>
          </w:tcPr>
          <w:p>
            <w:pPr>
              <w:jc w:val="center"/>
              <w:rPr>
                <w:b/>
                <w:bCs/>
              </w:rPr>
            </w:pPr>
            <w:r>
              <w:rPr>
                <w:b/>
                <w:bCs/>
              </w:rPr>
              <w:t>主要</w:t>
            </w:r>
            <w:r>
              <w:rPr>
                <w:rFonts w:hint="eastAsia"/>
                <w:b/>
                <w:bCs/>
              </w:rPr>
              <w:t>原料</w:t>
            </w:r>
          </w:p>
        </w:tc>
        <w:tc>
          <w:tcPr>
            <w:tcW w:w="1843" w:type="dxa"/>
            <w:noWrap w:val="0"/>
            <w:vAlign w:val="center"/>
          </w:tcPr>
          <w:p>
            <w:pPr>
              <w:jc w:val="center"/>
              <w:rPr>
                <w:b/>
                <w:bCs/>
              </w:rPr>
            </w:pPr>
            <w:r>
              <w:rPr>
                <w:b/>
                <w:bCs/>
              </w:rPr>
              <w:t>规格</w:t>
            </w:r>
          </w:p>
        </w:tc>
        <w:tc>
          <w:tcPr>
            <w:tcW w:w="1418" w:type="dxa"/>
            <w:noWrap w:val="0"/>
            <w:vAlign w:val="center"/>
          </w:tcPr>
          <w:p>
            <w:pPr>
              <w:jc w:val="center"/>
              <w:rPr>
                <w:b/>
                <w:bCs/>
              </w:rPr>
            </w:pPr>
            <w:r>
              <w:rPr>
                <w:b/>
                <w:bCs/>
              </w:rPr>
              <w:t>参考数量</w:t>
            </w:r>
          </w:p>
        </w:tc>
        <w:tc>
          <w:tcPr>
            <w:tcW w:w="1675" w:type="dxa"/>
            <w:noWrap w:val="0"/>
            <w:vAlign w:val="center"/>
          </w:tcPr>
          <w:p>
            <w:pPr>
              <w:jc w:val="center"/>
              <w:rPr>
                <w:b/>
                <w:bCs/>
              </w:rPr>
            </w:pPr>
            <w:r>
              <w:rPr>
                <w:rFonts w:hint="eastAsia"/>
                <w:b/>
                <w:bCs/>
                <w:lang w:eastAsia="zh-CN"/>
              </w:rPr>
              <w:t>单价最高</w:t>
            </w:r>
            <w:r>
              <w:rPr>
                <w:rFonts w:hint="eastAsia"/>
                <w:b/>
                <w:bCs/>
              </w:rPr>
              <w:t>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糍粑</w:t>
            </w:r>
          </w:p>
        </w:tc>
        <w:tc>
          <w:tcPr>
            <w:tcW w:w="851" w:type="dxa"/>
            <w:noWrap w:val="0"/>
            <w:vAlign w:val="center"/>
          </w:tcPr>
          <w:p>
            <w:pPr>
              <w:spacing w:line="240" w:lineRule="auto"/>
              <w:jc w:val="center"/>
            </w:pPr>
            <w:r>
              <w:rPr>
                <w:rFonts w:hint="eastAsia" w:ascii="宋体" w:hAnsi="宋体" w:eastAsia="宋体" w:cs="宋体"/>
                <w:sz w:val="21"/>
                <w:szCs w:val="21"/>
              </w:rPr>
              <w:t>kg</w:t>
            </w:r>
          </w:p>
        </w:tc>
        <w:tc>
          <w:tcPr>
            <w:tcW w:w="1442" w:type="dxa"/>
            <w:noWrap w:val="0"/>
            <w:vAlign w:val="center"/>
          </w:tcPr>
          <w:p>
            <w:pPr>
              <w:spacing w:line="240" w:lineRule="auto"/>
              <w:jc w:val="center"/>
              <w:rPr>
                <w:rFonts w:hint="eastAsia"/>
              </w:rPr>
            </w:pPr>
            <w:r>
              <w:rPr>
                <w:rFonts w:hint="eastAsia" w:ascii="宋体" w:hAnsi="宋体" w:eastAsia="宋体" w:cs="宋体"/>
                <w:sz w:val="21"/>
                <w:szCs w:val="21"/>
              </w:rPr>
              <w:t>糯米</w:t>
            </w:r>
          </w:p>
        </w:tc>
        <w:tc>
          <w:tcPr>
            <w:tcW w:w="1843" w:type="dxa"/>
            <w:noWrap w:val="0"/>
            <w:vAlign w:val="center"/>
          </w:tcPr>
          <w:p>
            <w:pPr>
              <w:spacing w:line="240" w:lineRule="auto"/>
              <w:jc w:val="center"/>
              <w:rPr>
                <w:rFonts w:hint="eastAsia"/>
              </w:rPr>
            </w:pPr>
          </w:p>
        </w:tc>
        <w:tc>
          <w:tcPr>
            <w:tcW w:w="1418" w:type="dxa"/>
            <w:noWrap w:val="0"/>
            <w:vAlign w:val="center"/>
          </w:tcPr>
          <w:p>
            <w:pPr>
              <w:spacing w:line="240" w:lineRule="auto"/>
              <w:jc w:val="center"/>
            </w:pPr>
            <w:r>
              <w:rPr>
                <w:rFonts w:hint="eastAsia" w:ascii="宋体" w:hAnsi="宋体" w:eastAsia="宋体" w:cs="宋体"/>
                <w:color w:val="000000"/>
                <w:sz w:val="21"/>
                <w:szCs w:val="21"/>
              </w:rPr>
              <w:t>1400</w:t>
            </w:r>
          </w:p>
        </w:tc>
        <w:tc>
          <w:tcPr>
            <w:tcW w:w="1675" w:type="dxa"/>
            <w:noWrap w:val="0"/>
            <w:vAlign w:val="center"/>
          </w:tcPr>
          <w:p>
            <w:pPr>
              <w:spacing w:line="240" w:lineRule="auto"/>
              <w:jc w:val="center"/>
            </w:pPr>
            <w:r>
              <w:rPr>
                <w:rFonts w:hint="eastAsia" w:ascii="宋体" w:hAnsi="宋体" w:eastAsia="宋体" w:cs="宋体"/>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叶儿粑</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noWrap w:val="0"/>
            <w:vAlign w:val="center"/>
          </w:tcPr>
          <w:p>
            <w:pPr>
              <w:spacing w:line="240" w:lineRule="auto"/>
              <w:jc w:val="center"/>
            </w:pPr>
            <w:r>
              <w:rPr>
                <w:rFonts w:hint="eastAsia" w:ascii="宋体" w:hAnsi="宋体" w:eastAsia="宋体" w:cs="宋体"/>
                <w:sz w:val="21"/>
                <w:szCs w:val="21"/>
              </w:rPr>
              <w:t>糯米、大米</w:t>
            </w:r>
          </w:p>
        </w:tc>
        <w:tc>
          <w:tcPr>
            <w:tcW w:w="1843" w:type="dxa"/>
            <w:noWrap w:val="0"/>
            <w:vAlign w:val="center"/>
          </w:tcPr>
          <w:p>
            <w:pPr>
              <w:spacing w:line="240" w:lineRule="auto"/>
              <w:jc w:val="center"/>
            </w:pPr>
            <w:r>
              <w:rPr>
                <w:rFonts w:hint="eastAsia" w:ascii="宋体" w:hAnsi="宋体" w:eastAsia="宋体" w:cs="宋体"/>
                <w:sz w:val="21"/>
                <w:szCs w:val="21"/>
              </w:rPr>
              <w:t>≥100 g /个</w:t>
            </w:r>
          </w:p>
        </w:tc>
        <w:tc>
          <w:tcPr>
            <w:tcW w:w="1418" w:type="dxa"/>
            <w:noWrap w:val="0"/>
            <w:vAlign w:val="center"/>
          </w:tcPr>
          <w:p>
            <w:pPr>
              <w:spacing w:line="240" w:lineRule="auto"/>
              <w:jc w:val="center"/>
            </w:pPr>
            <w:r>
              <w:rPr>
                <w:rFonts w:hint="eastAsia" w:ascii="宋体" w:hAnsi="宋体" w:eastAsia="宋体" w:cs="宋体"/>
                <w:color w:val="000000"/>
                <w:sz w:val="21"/>
                <w:szCs w:val="21"/>
              </w:rPr>
              <w:t>9960</w:t>
            </w:r>
          </w:p>
        </w:tc>
        <w:tc>
          <w:tcPr>
            <w:tcW w:w="1675" w:type="dxa"/>
            <w:noWrap w:val="0"/>
            <w:vAlign w:val="center"/>
          </w:tcPr>
          <w:p>
            <w:pPr>
              <w:spacing w:line="240" w:lineRule="auto"/>
              <w:jc w:val="cente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泡粑</w:t>
            </w:r>
          </w:p>
        </w:tc>
        <w:tc>
          <w:tcPr>
            <w:tcW w:w="851" w:type="dxa"/>
            <w:noWrap w:val="0"/>
            <w:vAlign w:val="center"/>
          </w:tcPr>
          <w:p>
            <w:pPr>
              <w:spacing w:line="240" w:lineRule="auto"/>
              <w:jc w:val="center"/>
            </w:pPr>
            <w:r>
              <w:rPr>
                <w:rFonts w:hint="eastAsia" w:ascii="宋体" w:hAnsi="宋体" w:eastAsia="宋体" w:cs="宋体"/>
                <w:sz w:val="21"/>
                <w:szCs w:val="21"/>
              </w:rPr>
              <w:t>kg</w:t>
            </w:r>
          </w:p>
        </w:tc>
        <w:tc>
          <w:tcPr>
            <w:tcW w:w="1442" w:type="dxa"/>
            <w:noWrap w:val="0"/>
            <w:vAlign w:val="center"/>
          </w:tcPr>
          <w:p>
            <w:pPr>
              <w:spacing w:line="240" w:lineRule="auto"/>
              <w:jc w:val="center"/>
            </w:pPr>
            <w:r>
              <w:rPr>
                <w:rFonts w:hint="eastAsia" w:ascii="宋体" w:hAnsi="宋体" w:eastAsia="宋体" w:cs="宋体"/>
                <w:sz w:val="21"/>
                <w:szCs w:val="21"/>
              </w:rPr>
              <w:t>大米、糯米</w:t>
            </w:r>
          </w:p>
        </w:tc>
        <w:tc>
          <w:tcPr>
            <w:tcW w:w="1843" w:type="dxa"/>
            <w:noWrap w:val="0"/>
            <w:vAlign w:val="center"/>
          </w:tcPr>
          <w:p>
            <w:pPr>
              <w:spacing w:line="240" w:lineRule="auto"/>
              <w:jc w:val="center"/>
            </w:pPr>
            <w:r>
              <w:rPr>
                <w:rFonts w:hint="eastAsia" w:ascii="宋体" w:hAnsi="宋体" w:eastAsia="宋体" w:cs="宋体"/>
                <w:sz w:val="21"/>
                <w:szCs w:val="21"/>
              </w:rPr>
              <w:t>≥80 g /个</w:t>
            </w:r>
          </w:p>
        </w:tc>
        <w:tc>
          <w:tcPr>
            <w:tcW w:w="1418" w:type="dxa"/>
            <w:noWrap w:val="0"/>
            <w:vAlign w:val="center"/>
          </w:tcPr>
          <w:p>
            <w:pPr>
              <w:spacing w:line="240" w:lineRule="auto"/>
              <w:jc w:val="center"/>
            </w:pPr>
            <w:r>
              <w:rPr>
                <w:rFonts w:hint="eastAsia" w:ascii="宋体" w:hAnsi="宋体" w:eastAsia="宋体" w:cs="宋体"/>
                <w:color w:val="000000"/>
                <w:sz w:val="21"/>
                <w:szCs w:val="21"/>
              </w:rPr>
              <w:t>2000</w:t>
            </w:r>
          </w:p>
        </w:tc>
        <w:tc>
          <w:tcPr>
            <w:tcW w:w="1675" w:type="dxa"/>
            <w:noWrap w:val="0"/>
            <w:vAlign w:val="center"/>
          </w:tcPr>
          <w:p>
            <w:pPr>
              <w:spacing w:line="240" w:lineRule="auto"/>
              <w:jc w:val="center"/>
            </w:pPr>
            <w:r>
              <w:rPr>
                <w:rFonts w:hint="eastAsia" w:ascii="宋体" w:hAnsi="宋体" w:eastAsia="宋体" w:cs="宋体"/>
                <w:sz w:val="21"/>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肉粽子</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noWrap w:val="0"/>
            <w:vAlign w:val="center"/>
          </w:tcPr>
          <w:p>
            <w:pPr>
              <w:spacing w:line="240" w:lineRule="auto"/>
              <w:jc w:val="center"/>
            </w:pPr>
            <w:r>
              <w:rPr>
                <w:rFonts w:hint="eastAsia" w:ascii="宋体" w:hAnsi="宋体" w:eastAsia="宋体" w:cs="宋体"/>
                <w:sz w:val="21"/>
                <w:szCs w:val="21"/>
              </w:rPr>
              <w:t>糯米、肉类、豆类</w:t>
            </w:r>
          </w:p>
        </w:tc>
        <w:tc>
          <w:tcPr>
            <w:tcW w:w="1843" w:type="dxa"/>
            <w:noWrap w:val="0"/>
            <w:vAlign w:val="center"/>
          </w:tcPr>
          <w:p>
            <w:pPr>
              <w:spacing w:line="240" w:lineRule="auto"/>
              <w:jc w:val="center"/>
            </w:pPr>
            <w:r>
              <w:rPr>
                <w:rFonts w:hint="eastAsia" w:ascii="宋体" w:hAnsi="宋体" w:eastAsia="宋体" w:cs="宋体"/>
                <w:sz w:val="21"/>
                <w:szCs w:val="21"/>
              </w:rPr>
              <w:t>≥150 g /个</w:t>
            </w:r>
          </w:p>
        </w:tc>
        <w:tc>
          <w:tcPr>
            <w:tcW w:w="1418" w:type="dxa"/>
            <w:noWrap w:val="0"/>
            <w:vAlign w:val="center"/>
          </w:tcPr>
          <w:p>
            <w:pPr>
              <w:spacing w:line="240" w:lineRule="auto"/>
              <w:jc w:val="center"/>
            </w:pPr>
            <w:r>
              <w:rPr>
                <w:rFonts w:hint="eastAsia" w:ascii="宋体" w:hAnsi="宋体" w:eastAsia="宋体" w:cs="宋体"/>
                <w:color w:val="000000"/>
                <w:sz w:val="21"/>
                <w:szCs w:val="21"/>
              </w:rPr>
              <w:t>12000</w:t>
            </w:r>
          </w:p>
        </w:tc>
        <w:tc>
          <w:tcPr>
            <w:tcW w:w="1675" w:type="dxa"/>
            <w:noWrap w:val="0"/>
            <w:vAlign w:val="center"/>
          </w:tcPr>
          <w:p>
            <w:pPr>
              <w:spacing w:line="240" w:lineRule="auto"/>
              <w:jc w:val="center"/>
            </w:pPr>
            <w:r>
              <w:rPr>
                <w:rFonts w:hint="eastAsia" w:ascii="宋体" w:hAnsi="宋体" w:eastAsia="宋体" w:cs="宋体"/>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白粽子</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noWrap w:val="0"/>
            <w:vAlign w:val="center"/>
          </w:tcPr>
          <w:p>
            <w:pPr>
              <w:spacing w:line="240" w:lineRule="auto"/>
              <w:jc w:val="center"/>
            </w:pPr>
            <w:r>
              <w:rPr>
                <w:rFonts w:hint="eastAsia" w:ascii="宋体" w:hAnsi="宋体" w:eastAsia="宋体" w:cs="宋体"/>
                <w:sz w:val="21"/>
                <w:szCs w:val="21"/>
              </w:rPr>
              <w:t>糯米</w:t>
            </w:r>
          </w:p>
        </w:tc>
        <w:tc>
          <w:tcPr>
            <w:tcW w:w="1843" w:type="dxa"/>
            <w:noWrap w:val="0"/>
            <w:vAlign w:val="center"/>
          </w:tcPr>
          <w:p>
            <w:pPr>
              <w:spacing w:line="240" w:lineRule="auto"/>
              <w:jc w:val="center"/>
            </w:pPr>
            <w:r>
              <w:rPr>
                <w:rFonts w:hint="eastAsia" w:ascii="宋体" w:hAnsi="宋体" w:eastAsia="宋体" w:cs="宋体"/>
                <w:sz w:val="21"/>
                <w:szCs w:val="21"/>
              </w:rPr>
              <w:t>≥150 g /个</w:t>
            </w:r>
          </w:p>
        </w:tc>
        <w:tc>
          <w:tcPr>
            <w:tcW w:w="1418" w:type="dxa"/>
            <w:noWrap w:val="0"/>
            <w:vAlign w:val="center"/>
          </w:tcPr>
          <w:p>
            <w:pPr>
              <w:spacing w:line="240" w:lineRule="auto"/>
              <w:jc w:val="center"/>
            </w:pPr>
            <w:r>
              <w:rPr>
                <w:rFonts w:hint="eastAsia" w:ascii="宋体" w:hAnsi="宋体" w:eastAsia="宋体" w:cs="宋体"/>
                <w:color w:val="000000"/>
                <w:sz w:val="21"/>
                <w:szCs w:val="21"/>
              </w:rPr>
              <w:t>5000</w:t>
            </w:r>
          </w:p>
        </w:tc>
        <w:tc>
          <w:tcPr>
            <w:tcW w:w="1675" w:type="dxa"/>
            <w:noWrap w:val="0"/>
            <w:vAlign w:val="center"/>
          </w:tcPr>
          <w:p>
            <w:pPr>
              <w:spacing w:line="240" w:lineRule="auto"/>
              <w:jc w:val="center"/>
              <w:rPr>
                <w:highlight w:val="yellow"/>
              </w:rPr>
            </w:pPr>
            <w:r>
              <w:rPr>
                <w:rFonts w:hint="eastAsia" w:ascii="宋体" w:hAnsi="宋体" w:eastAsia="宋体" w:cs="宋体"/>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咸鸭蛋</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noWrap w:val="0"/>
            <w:vAlign w:val="center"/>
          </w:tcPr>
          <w:p>
            <w:pPr>
              <w:spacing w:line="240" w:lineRule="auto"/>
              <w:jc w:val="center"/>
            </w:pPr>
            <w:r>
              <w:rPr>
                <w:rFonts w:hint="eastAsia" w:ascii="宋体" w:hAnsi="宋体" w:eastAsia="宋体" w:cs="宋体"/>
                <w:sz w:val="21"/>
                <w:szCs w:val="21"/>
              </w:rPr>
              <w:t>鸭蛋</w:t>
            </w:r>
          </w:p>
        </w:tc>
        <w:tc>
          <w:tcPr>
            <w:tcW w:w="1843" w:type="dxa"/>
            <w:noWrap w:val="0"/>
            <w:vAlign w:val="center"/>
          </w:tcPr>
          <w:p>
            <w:pPr>
              <w:spacing w:line="240" w:lineRule="auto"/>
              <w:jc w:val="center"/>
            </w:pPr>
            <w:r>
              <w:rPr>
                <w:rFonts w:hint="eastAsia" w:ascii="宋体" w:hAnsi="宋体" w:eastAsia="宋体" w:cs="宋体"/>
                <w:sz w:val="21"/>
                <w:szCs w:val="21"/>
              </w:rPr>
              <w:t>≥75g/个</w:t>
            </w:r>
          </w:p>
        </w:tc>
        <w:tc>
          <w:tcPr>
            <w:tcW w:w="1418" w:type="dxa"/>
            <w:noWrap w:val="0"/>
            <w:vAlign w:val="center"/>
          </w:tcPr>
          <w:p>
            <w:pPr>
              <w:spacing w:line="240" w:lineRule="auto"/>
              <w:jc w:val="center"/>
            </w:pPr>
            <w:r>
              <w:rPr>
                <w:rFonts w:hint="eastAsia" w:ascii="宋体" w:hAnsi="宋体" w:eastAsia="宋体" w:cs="宋体"/>
                <w:color w:val="000000"/>
                <w:sz w:val="21"/>
                <w:szCs w:val="21"/>
              </w:rPr>
              <w:t>8000</w:t>
            </w:r>
          </w:p>
        </w:tc>
        <w:tc>
          <w:tcPr>
            <w:tcW w:w="1675" w:type="dxa"/>
            <w:noWrap w:val="0"/>
            <w:vAlign w:val="center"/>
          </w:tcPr>
          <w:p>
            <w:pPr>
              <w:spacing w:line="240" w:lineRule="auto"/>
              <w:jc w:val="center"/>
              <w:rPr>
                <w:highlight w:val="yellow"/>
              </w:rPr>
            </w:pPr>
            <w:r>
              <w:rPr>
                <w:rFonts w:hint="eastAsia" w:ascii="宋体" w:hAnsi="宋体" w:eastAsia="宋体" w:cs="宋体"/>
                <w:sz w:val="21"/>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小蛋糕</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vMerge w:val="restart"/>
            <w:noWrap w:val="0"/>
            <w:vAlign w:val="center"/>
          </w:tcPr>
          <w:p>
            <w:pPr>
              <w:spacing w:after="120" w:line="240" w:lineRule="auto"/>
              <w:jc w:val="center"/>
            </w:pPr>
            <w:r>
              <w:rPr>
                <w:rFonts w:hint="eastAsia" w:ascii="宋体" w:hAnsi="宋体" w:eastAsia="宋体" w:cs="宋体"/>
                <w:sz w:val="21"/>
                <w:szCs w:val="21"/>
              </w:rPr>
              <w:t>面粉、白糖</w:t>
            </w:r>
          </w:p>
        </w:tc>
        <w:tc>
          <w:tcPr>
            <w:tcW w:w="1843" w:type="dxa"/>
            <w:vMerge w:val="restart"/>
            <w:noWrap w:val="0"/>
            <w:vAlign w:val="center"/>
          </w:tcPr>
          <w:p>
            <w:pPr>
              <w:spacing w:after="120" w:line="240" w:lineRule="auto"/>
              <w:jc w:val="center"/>
            </w:pPr>
            <w:r>
              <w:rPr>
                <w:rFonts w:hint="eastAsia" w:ascii="宋体" w:hAnsi="宋体" w:eastAsia="宋体" w:cs="宋体"/>
                <w:bCs/>
                <w:sz w:val="21"/>
                <w:szCs w:val="21"/>
              </w:rPr>
              <w:t>≥30g</w:t>
            </w:r>
            <w:r>
              <w:rPr>
                <w:rFonts w:hint="eastAsia" w:ascii="宋体" w:hAnsi="宋体" w:eastAsia="宋体" w:cs="宋体"/>
                <w:sz w:val="21"/>
                <w:szCs w:val="21"/>
              </w:rPr>
              <w:t>/个</w:t>
            </w:r>
          </w:p>
        </w:tc>
        <w:tc>
          <w:tcPr>
            <w:tcW w:w="1418" w:type="dxa"/>
            <w:noWrap w:val="0"/>
            <w:vAlign w:val="center"/>
          </w:tcPr>
          <w:p>
            <w:pPr>
              <w:spacing w:line="240" w:lineRule="auto"/>
              <w:jc w:val="center"/>
            </w:pPr>
            <w:r>
              <w:rPr>
                <w:rFonts w:hint="eastAsia" w:ascii="宋体" w:hAnsi="宋体" w:eastAsia="宋体" w:cs="宋体"/>
                <w:color w:val="000000"/>
                <w:sz w:val="21"/>
                <w:szCs w:val="21"/>
              </w:rPr>
              <w:t>12000</w:t>
            </w:r>
          </w:p>
        </w:tc>
        <w:tc>
          <w:tcPr>
            <w:tcW w:w="1675" w:type="dxa"/>
            <w:noWrap w:val="0"/>
            <w:vAlign w:val="center"/>
          </w:tcPr>
          <w:p>
            <w:pPr>
              <w:spacing w:line="240" w:lineRule="auto"/>
              <w:jc w:val="center"/>
            </w:pPr>
            <w:r>
              <w:rPr>
                <w:rFonts w:hint="eastAsia" w:ascii="宋体" w:hAnsi="宋体" w:eastAsia="宋体" w:cs="宋体"/>
                <w:sz w:val="21"/>
                <w:szCs w:val="21"/>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512" w:type="dxa"/>
            <w:noWrap w:val="0"/>
            <w:vAlign w:val="center"/>
          </w:tcPr>
          <w:p>
            <w:pPr>
              <w:spacing w:line="240" w:lineRule="auto"/>
              <w:jc w:val="center"/>
            </w:pPr>
            <w:r>
              <w:rPr>
                <w:rFonts w:hint="eastAsia" w:ascii="宋体" w:hAnsi="宋体" w:eastAsia="宋体" w:cs="宋体"/>
                <w:sz w:val="21"/>
                <w:szCs w:val="21"/>
              </w:rPr>
              <w:t>小面包</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vMerge w:val="continue"/>
            <w:noWrap w:val="0"/>
            <w:vAlign w:val="center"/>
          </w:tcPr>
          <w:p>
            <w:pPr>
              <w:spacing w:line="240" w:lineRule="auto"/>
              <w:jc w:val="center"/>
            </w:pPr>
          </w:p>
        </w:tc>
        <w:tc>
          <w:tcPr>
            <w:tcW w:w="1843" w:type="dxa"/>
            <w:vMerge w:val="continue"/>
            <w:noWrap w:val="0"/>
            <w:vAlign w:val="center"/>
          </w:tcPr>
          <w:p>
            <w:pPr>
              <w:spacing w:line="240" w:lineRule="auto"/>
              <w:jc w:val="center"/>
            </w:pPr>
          </w:p>
        </w:tc>
        <w:tc>
          <w:tcPr>
            <w:tcW w:w="1418" w:type="dxa"/>
            <w:noWrap w:val="0"/>
            <w:vAlign w:val="center"/>
          </w:tcPr>
          <w:p>
            <w:pPr>
              <w:spacing w:line="240" w:lineRule="auto"/>
              <w:jc w:val="center"/>
            </w:pPr>
            <w:r>
              <w:rPr>
                <w:rFonts w:hint="eastAsia" w:ascii="宋体" w:hAnsi="宋体" w:eastAsia="宋体" w:cs="宋体"/>
                <w:color w:val="000000"/>
                <w:sz w:val="21"/>
                <w:szCs w:val="21"/>
              </w:rPr>
              <w:t>12000</w:t>
            </w:r>
          </w:p>
        </w:tc>
        <w:tc>
          <w:tcPr>
            <w:tcW w:w="1675" w:type="dxa"/>
            <w:noWrap w:val="0"/>
            <w:vAlign w:val="center"/>
          </w:tcPr>
          <w:p>
            <w:pPr>
              <w:spacing w:line="240" w:lineRule="auto"/>
              <w:jc w:val="center"/>
            </w:pPr>
            <w:r>
              <w:rPr>
                <w:rFonts w:hint="eastAsia" w:ascii="宋体" w:hAnsi="宋体" w:eastAsia="宋体" w:cs="宋体"/>
                <w:sz w:val="21"/>
                <w:szCs w:val="21"/>
              </w:rPr>
              <w:t>0.88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512" w:type="dxa"/>
            <w:noWrap w:val="0"/>
            <w:vAlign w:val="center"/>
          </w:tcPr>
          <w:p>
            <w:pPr>
              <w:spacing w:line="240" w:lineRule="auto"/>
              <w:jc w:val="center"/>
            </w:pPr>
            <w:r>
              <w:rPr>
                <w:rFonts w:hint="eastAsia" w:ascii="宋体" w:hAnsi="宋体" w:eastAsia="宋体" w:cs="宋体"/>
                <w:sz w:val="21"/>
                <w:szCs w:val="21"/>
              </w:rPr>
              <w:t>沙琪玛</w:t>
            </w:r>
          </w:p>
        </w:tc>
        <w:tc>
          <w:tcPr>
            <w:tcW w:w="851" w:type="dxa"/>
            <w:noWrap w:val="0"/>
            <w:vAlign w:val="center"/>
          </w:tcPr>
          <w:p>
            <w:pPr>
              <w:spacing w:line="240" w:lineRule="auto"/>
              <w:jc w:val="center"/>
            </w:pPr>
            <w:r>
              <w:rPr>
                <w:rFonts w:hint="eastAsia" w:ascii="宋体" w:hAnsi="宋体" w:eastAsia="宋体" w:cs="宋体"/>
                <w:sz w:val="21"/>
                <w:szCs w:val="21"/>
              </w:rPr>
              <w:t>个</w:t>
            </w:r>
          </w:p>
        </w:tc>
        <w:tc>
          <w:tcPr>
            <w:tcW w:w="1442" w:type="dxa"/>
            <w:noWrap w:val="0"/>
            <w:vAlign w:val="center"/>
          </w:tcPr>
          <w:p>
            <w:pPr>
              <w:spacing w:line="240" w:lineRule="auto"/>
              <w:jc w:val="center"/>
            </w:pPr>
            <w:r>
              <w:rPr>
                <w:rFonts w:hint="eastAsia" w:ascii="宋体" w:hAnsi="宋体" w:eastAsia="宋体" w:cs="宋体"/>
                <w:sz w:val="21"/>
                <w:szCs w:val="21"/>
              </w:rPr>
              <w:t>面粉、麦芽糖、鸡蛋</w:t>
            </w:r>
          </w:p>
        </w:tc>
        <w:tc>
          <w:tcPr>
            <w:tcW w:w="1843" w:type="dxa"/>
            <w:noWrap w:val="0"/>
            <w:vAlign w:val="center"/>
          </w:tcPr>
          <w:p>
            <w:pPr>
              <w:spacing w:line="240" w:lineRule="auto"/>
              <w:jc w:val="center"/>
            </w:pPr>
            <w:r>
              <w:rPr>
                <w:rFonts w:hint="eastAsia" w:ascii="宋体" w:hAnsi="宋体" w:eastAsia="宋体" w:cs="宋体"/>
                <w:bCs/>
                <w:sz w:val="21"/>
                <w:szCs w:val="21"/>
              </w:rPr>
              <w:t>≥30g</w:t>
            </w:r>
            <w:r>
              <w:rPr>
                <w:rFonts w:hint="eastAsia" w:ascii="宋体" w:hAnsi="宋体" w:eastAsia="宋体" w:cs="宋体"/>
                <w:sz w:val="21"/>
                <w:szCs w:val="21"/>
              </w:rPr>
              <w:t>/个</w:t>
            </w:r>
          </w:p>
        </w:tc>
        <w:tc>
          <w:tcPr>
            <w:tcW w:w="1418" w:type="dxa"/>
            <w:noWrap w:val="0"/>
            <w:vAlign w:val="center"/>
          </w:tcPr>
          <w:p>
            <w:pPr>
              <w:spacing w:line="240" w:lineRule="auto"/>
              <w:jc w:val="center"/>
            </w:pPr>
            <w:r>
              <w:rPr>
                <w:rFonts w:hint="eastAsia" w:ascii="宋体" w:hAnsi="宋体" w:eastAsia="宋体" w:cs="宋体"/>
                <w:color w:val="000000"/>
                <w:sz w:val="21"/>
                <w:szCs w:val="21"/>
              </w:rPr>
              <w:t>12000</w:t>
            </w:r>
          </w:p>
        </w:tc>
        <w:tc>
          <w:tcPr>
            <w:tcW w:w="1675" w:type="dxa"/>
            <w:noWrap w:val="0"/>
            <w:vAlign w:val="center"/>
          </w:tcPr>
          <w:p>
            <w:pPr>
              <w:spacing w:line="240" w:lineRule="auto"/>
              <w:jc w:val="center"/>
            </w:pPr>
            <w:r>
              <w:rPr>
                <w:rFonts w:hint="eastAsia" w:ascii="宋体" w:hAnsi="宋体" w:eastAsia="宋体" w:cs="宋体"/>
                <w:sz w:val="21"/>
                <w:szCs w:val="21"/>
              </w:rPr>
              <w:t>0.88</w:t>
            </w:r>
          </w:p>
        </w:tc>
      </w:tr>
    </w:tbl>
    <w:p>
      <w:pPr>
        <w:widowControl/>
        <w:tabs>
          <w:tab w:val="left" w:pos="1080"/>
        </w:tabs>
        <w:spacing w:line="500" w:lineRule="exact"/>
        <w:rPr>
          <w:rStyle w:val="8"/>
          <w:rFonts w:hint="eastAsia" w:ascii="宋体" w:hAnsi="宋体" w:cs="宋体"/>
          <w:b/>
          <w:bCs/>
          <w:sz w:val="24"/>
        </w:rPr>
      </w:pPr>
      <w:r>
        <w:rPr>
          <w:rStyle w:val="8"/>
          <w:rFonts w:hint="eastAsia" w:ascii="宋体" w:hAnsi="宋体" w:cs="宋体"/>
          <w:b/>
          <w:bCs/>
          <w:sz w:val="24"/>
        </w:rPr>
        <w:t>三、技术服务要求（实质性要求）</w:t>
      </w:r>
    </w:p>
    <w:p>
      <w:pPr>
        <w:pStyle w:val="2"/>
        <w:spacing w:line="360" w:lineRule="auto"/>
        <w:ind w:firstLine="480"/>
        <w:rPr>
          <w:rFonts w:hint="eastAsia"/>
          <w:sz w:val="24"/>
        </w:rPr>
      </w:pPr>
      <w:r>
        <w:rPr>
          <w:rFonts w:hint="eastAsia"/>
          <w:sz w:val="24"/>
        </w:rPr>
        <w:t>1、面包、蛋糕为现做，保质期≤5天，送货当天有效保质期≥2天；</w:t>
      </w:r>
    </w:p>
    <w:p>
      <w:pPr>
        <w:pStyle w:val="2"/>
        <w:spacing w:line="360" w:lineRule="auto"/>
        <w:ind w:firstLine="480"/>
        <w:rPr>
          <w:rFonts w:hint="eastAsia"/>
          <w:sz w:val="24"/>
        </w:rPr>
      </w:pPr>
      <w:r>
        <w:rPr>
          <w:rFonts w:hint="eastAsia"/>
          <w:sz w:val="24"/>
        </w:rPr>
        <w:t>2、沙琪玛有包装、有生产厂家，保质期≥90天，送货当天有效保质期≥50天；</w:t>
      </w:r>
    </w:p>
    <w:p>
      <w:pPr>
        <w:pStyle w:val="2"/>
        <w:spacing w:line="360" w:lineRule="auto"/>
        <w:ind w:firstLine="480"/>
        <w:rPr>
          <w:rFonts w:hint="eastAsia"/>
        </w:rPr>
      </w:pPr>
      <w:r>
        <w:rPr>
          <w:rFonts w:hint="eastAsia"/>
          <w:sz w:val="24"/>
        </w:rPr>
        <w:t>3、若投标人为流通类企业，还需提供货物来源说明。</w:t>
      </w:r>
    </w:p>
    <w:p>
      <w:pPr>
        <w:widowControl/>
        <w:tabs>
          <w:tab w:val="left" w:pos="1080"/>
        </w:tabs>
        <w:spacing w:line="360" w:lineRule="auto"/>
        <w:rPr>
          <w:rStyle w:val="8"/>
          <w:rFonts w:hint="eastAsia" w:ascii="宋体" w:hAnsi="宋体" w:cs="宋体"/>
          <w:b/>
          <w:bCs/>
          <w:sz w:val="24"/>
        </w:rPr>
      </w:pPr>
      <w:r>
        <w:rPr>
          <w:rStyle w:val="8"/>
          <w:rFonts w:hint="eastAsia" w:ascii="宋体" w:hAnsi="宋体" w:cs="宋体"/>
          <w:b/>
          <w:bCs/>
          <w:sz w:val="24"/>
        </w:rPr>
        <w:t>四、商务要求（实质性要求）</w:t>
      </w:r>
    </w:p>
    <w:p>
      <w:pPr>
        <w:widowControl/>
        <w:adjustRightInd w:val="0"/>
        <w:spacing w:after="0" w:line="360" w:lineRule="auto"/>
        <w:ind w:firstLine="482" w:firstLineChars="200"/>
        <w:jc w:val="left"/>
        <w:textAlignment w:val="baseline"/>
        <w:rPr>
          <w:rFonts w:hint="eastAsia" w:ascii="宋体" w:hAnsi="宋体" w:cs="宋体"/>
          <w:b/>
          <w:bCs/>
          <w:color w:val="000000"/>
          <w:kern w:val="0"/>
          <w:sz w:val="24"/>
        </w:rPr>
      </w:pPr>
      <w:r>
        <w:rPr>
          <w:rFonts w:hint="eastAsia" w:ascii="宋体" w:hAnsi="宋体" w:cs="宋体"/>
          <w:b/>
          <w:bCs/>
          <w:color w:val="000000"/>
          <w:kern w:val="0"/>
          <w:sz w:val="24"/>
        </w:rPr>
        <w:t>（一）报价要求</w:t>
      </w:r>
    </w:p>
    <w:p>
      <w:pPr>
        <w:pStyle w:val="2"/>
        <w:spacing w:line="360" w:lineRule="auto"/>
        <w:ind w:firstLine="480"/>
        <w:rPr>
          <w:rFonts w:hint="eastAsia" w:ascii="宋体" w:hAnsi="宋体" w:cs="宋体"/>
          <w:sz w:val="24"/>
        </w:rPr>
      </w:pPr>
      <w:r>
        <w:rPr>
          <w:rFonts w:hint="eastAsia" w:ascii="宋体" w:hAnsi="宋体" w:cs="宋体"/>
          <w:sz w:val="24"/>
        </w:rPr>
        <w:t xml:space="preserve"> 1、本项目为单价采购项目，定价不定量，该价格在供货期内恒定不变，不受市场供需变化的影响，遇涨不涨，遇降不降，成交后该价格不做调整，按实际送货数量结算。</w:t>
      </w:r>
    </w:p>
    <w:p>
      <w:pPr>
        <w:pStyle w:val="2"/>
        <w:spacing w:line="360" w:lineRule="auto"/>
        <w:ind w:firstLine="480"/>
        <w:rPr>
          <w:rFonts w:hint="eastAsia" w:ascii="宋体" w:hAnsi="宋体" w:cs="宋体"/>
          <w:sz w:val="24"/>
        </w:rPr>
      </w:pPr>
      <w:r>
        <w:rPr>
          <w:rFonts w:hint="eastAsia" w:ascii="宋体" w:hAnsi="宋体" w:cs="宋体"/>
          <w:sz w:val="24"/>
        </w:rPr>
        <w:t xml:space="preserve"> 2、报价表中规定的应提交和交付的货物报价是最终用户验收合格后的综合价格（包括货物运输、保险、代理、税费、本标货物分装、送检、送货等全部费用）。</w:t>
      </w:r>
    </w:p>
    <w:p>
      <w:pPr>
        <w:pStyle w:val="2"/>
        <w:spacing w:line="360" w:lineRule="auto"/>
        <w:ind w:firstLine="480"/>
        <w:rPr>
          <w:rFonts w:hint="eastAsia" w:ascii="宋体" w:hAnsi="宋体" w:cs="宋体"/>
          <w:sz w:val="24"/>
        </w:rPr>
      </w:pPr>
      <w:r>
        <w:rPr>
          <w:rFonts w:hint="eastAsia" w:ascii="宋体" w:hAnsi="宋体" w:cs="宋体"/>
          <w:sz w:val="24"/>
        </w:rPr>
        <w:t xml:space="preserve"> 3、采购人不接受有选择的报价；供应商的每一项报价均不得超过最高限价，否则按无效投标处理。</w:t>
      </w:r>
    </w:p>
    <w:p>
      <w:pPr>
        <w:pStyle w:val="3"/>
        <w:ind w:firstLine="482" w:firstLineChars="200"/>
        <w:jc w:val="both"/>
        <w:rPr>
          <w:rFonts w:hint="eastAsia" w:ascii="宋体" w:hAnsi="宋体" w:cs="宋体"/>
          <w:b w:val="0"/>
          <w:bCs/>
          <w:sz w:val="24"/>
        </w:rPr>
      </w:pPr>
      <w:r>
        <w:rPr>
          <w:rFonts w:hint="eastAsia"/>
          <w:sz w:val="24"/>
        </w:rPr>
        <w:t>（二）供货期限：</w:t>
      </w:r>
      <w:r>
        <w:rPr>
          <w:rFonts w:hint="eastAsia" w:ascii="宋体" w:hAnsi="宋体" w:cs="宋体"/>
          <w:b w:val="0"/>
          <w:bCs/>
          <w:sz w:val="24"/>
        </w:rPr>
        <w:t>2022年9月1日至2023年8月31日。</w:t>
      </w:r>
    </w:p>
    <w:p>
      <w:pPr>
        <w:spacing w:line="360" w:lineRule="auto"/>
        <w:ind w:firstLine="482" w:firstLineChars="200"/>
        <w:rPr>
          <w:rFonts w:hint="eastAsia" w:ascii="宋体" w:hAnsi="宋体" w:cs="宋体"/>
          <w:bCs/>
          <w:sz w:val="24"/>
        </w:rPr>
      </w:pPr>
      <w:r>
        <w:rPr>
          <w:rFonts w:hint="eastAsia" w:ascii="宋体" w:hAnsi="宋体" w:cs="宋体"/>
          <w:b/>
          <w:sz w:val="24"/>
        </w:rPr>
        <w:t>（三）付款方式：</w:t>
      </w:r>
      <w:r>
        <w:rPr>
          <w:rFonts w:hint="eastAsia" w:ascii="宋体" w:hAnsi="宋体" w:cs="宋体"/>
          <w:bCs/>
          <w:sz w:val="24"/>
        </w:rPr>
        <w:t>采购人与中标人双方一个月结算一次货款，月初中标人与采购人核对上月供货数量无误后开具正规发票，采购人收到发票后在20个工作日内（遇学校寒、暑假和特殊情况除外），通过银行转账方式支付给中标人，且转账账户的开户名称和提供发票的印章名称必须与签订合同的单位名称三者相吻合，否则不予转账。</w:t>
      </w:r>
    </w:p>
    <w:p>
      <w:pPr>
        <w:pStyle w:val="2"/>
        <w:ind w:firstLine="482"/>
        <w:rPr>
          <w:rFonts w:hint="eastAsia" w:ascii="宋体" w:hAnsi="宋体" w:cs="宋体"/>
          <w:b/>
          <w:sz w:val="24"/>
        </w:rPr>
      </w:pPr>
      <w:r>
        <w:rPr>
          <w:rFonts w:hint="eastAsia" w:ascii="宋体" w:hAnsi="宋体" w:cs="宋体"/>
          <w:b/>
          <w:sz w:val="24"/>
        </w:rPr>
        <w:t>（四）其他要求</w:t>
      </w:r>
    </w:p>
    <w:p>
      <w:pPr>
        <w:widowControl/>
        <w:adjustRightInd w:val="0"/>
        <w:spacing w:after="0" w:line="360" w:lineRule="auto"/>
        <w:ind w:firstLine="723" w:firstLineChars="300"/>
        <w:jc w:val="left"/>
        <w:textAlignment w:val="baseline"/>
        <w:rPr>
          <w:rFonts w:hint="eastAsia" w:ascii="宋体" w:hAnsi="宋体" w:cs="宋体"/>
          <w:b/>
          <w:color w:val="000000"/>
          <w:kern w:val="0"/>
          <w:sz w:val="24"/>
        </w:rPr>
      </w:pPr>
      <w:r>
        <w:rPr>
          <w:rFonts w:hint="eastAsia" w:ascii="宋体" w:hAnsi="宋体" w:cs="宋体"/>
          <w:b/>
          <w:color w:val="000000"/>
          <w:kern w:val="0"/>
          <w:sz w:val="24"/>
        </w:rPr>
        <w:t>1、履约保证金</w:t>
      </w:r>
    </w:p>
    <w:p>
      <w:pPr>
        <w:spacing w:line="360" w:lineRule="auto"/>
        <w:ind w:firstLine="480" w:firstLineChars="200"/>
        <w:jc w:val="left"/>
        <w:rPr>
          <w:rFonts w:ascii="宋体" w:hAnsi="宋体" w:cs="仿宋"/>
          <w:bCs/>
          <w:sz w:val="24"/>
        </w:rPr>
      </w:pPr>
      <w:r>
        <w:rPr>
          <w:rFonts w:hint="eastAsia" w:ascii="宋体" w:hAnsi="宋体" w:cs="仿宋"/>
          <w:bCs/>
          <w:sz w:val="24"/>
        </w:rPr>
        <w:t>（1）金额：7500.00元（大写：柒仟伍佰元整）</w:t>
      </w:r>
    </w:p>
    <w:p>
      <w:pPr>
        <w:spacing w:line="360" w:lineRule="auto"/>
        <w:ind w:firstLine="480" w:firstLineChars="200"/>
        <w:jc w:val="left"/>
        <w:rPr>
          <w:rFonts w:hint="eastAsia" w:ascii="宋体" w:hAnsi="宋体" w:cs="仿宋"/>
          <w:bCs/>
          <w:sz w:val="24"/>
        </w:rPr>
      </w:pPr>
      <w:r>
        <w:rPr>
          <w:rFonts w:hint="eastAsia" w:ascii="宋体" w:hAnsi="宋体" w:cs="仿宋"/>
          <w:bCs/>
          <w:sz w:val="24"/>
        </w:rPr>
        <w:t>（2）履约保证金的缴纳：成交人在本项目成交通知书发出后,采购合同签订前一次性向采购人转账支付，收款账户信息如下：</w:t>
      </w:r>
    </w:p>
    <w:p>
      <w:pPr>
        <w:spacing w:line="360" w:lineRule="auto"/>
        <w:ind w:firstLine="480" w:firstLineChars="200"/>
        <w:jc w:val="left"/>
        <w:rPr>
          <w:rFonts w:hint="eastAsia" w:ascii="宋体" w:hAnsi="宋体" w:cs="仿宋"/>
          <w:bCs/>
          <w:sz w:val="24"/>
        </w:rPr>
      </w:pPr>
      <w:r>
        <w:rPr>
          <w:rFonts w:hint="eastAsia" w:ascii="宋体" w:hAnsi="宋体" w:cs="仿宋"/>
          <w:bCs/>
          <w:sz w:val="24"/>
        </w:rPr>
        <w:t>户    名：乐山师范学院</w:t>
      </w:r>
    </w:p>
    <w:p>
      <w:pPr>
        <w:spacing w:line="360" w:lineRule="auto"/>
        <w:ind w:firstLine="480" w:firstLineChars="200"/>
        <w:jc w:val="left"/>
        <w:rPr>
          <w:rFonts w:hint="eastAsia" w:ascii="宋体" w:hAnsi="宋体" w:cs="仿宋"/>
          <w:bCs/>
          <w:sz w:val="24"/>
        </w:rPr>
      </w:pPr>
      <w:r>
        <w:rPr>
          <w:rFonts w:hint="eastAsia" w:ascii="宋体" w:hAnsi="宋体" w:cs="仿宋"/>
          <w:bCs/>
          <w:sz w:val="24"/>
        </w:rPr>
        <w:t>开户银行：中国建设银行四川省乐山分行营业部</w:t>
      </w:r>
    </w:p>
    <w:p>
      <w:pPr>
        <w:spacing w:line="360" w:lineRule="auto"/>
        <w:ind w:firstLine="480" w:firstLineChars="200"/>
        <w:jc w:val="left"/>
        <w:rPr>
          <w:rFonts w:hint="eastAsia" w:ascii="宋体" w:hAnsi="宋体" w:cs="仿宋"/>
          <w:bCs/>
          <w:sz w:val="24"/>
        </w:rPr>
      </w:pPr>
      <w:r>
        <w:rPr>
          <w:rFonts w:hint="eastAsia" w:ascii="宋体" w:hAnsi="宋体" w:cs="仿宋"/>
          <w:bCs/>
          <w:sz w:val="24"/>
        </w:rPr>
        <w:t>账    号：5100 1698 6080 5150 2679</w:t>
      </w:r>
    </w:p>
    <w:p>
      <w:pPr>
        <w:spacing w:line="360" w:lineRule="auto"/>
        <w:ind w:firstLine="480" w:firstLineChars="200"/>
        <w:jc w:val="left"/>
        <w:rPr>
          <w:rFonts w:hint="eastAsia" w:ascii="宋体" w:hAnsi="宋体" w:cs="仿宋"/>
          <w:bCs/>
          <w:sz w:val="24"/>
        </w:rPr>
      </w:pPr>
      <w:r>
        <w:rPr>
          <w:rFonts w:hint="eastAsia" w:ascii="宋体" w:hAnsi="宋体" w:cs="仿宋"/>
          <w:bCs/>
          <w:sz w:val="24"/>
        </w:rPr>
        <w:t>（3）履约保证金的退还：在合同执行完毕后，未发生卫生、质量等问题，中标人凭财务部开具的收款凭据退还（不计息）。</w:t>
      </w:r>
    </w:p>
    <w:p>
      <w:pPr>
        <w:pStyle w:val="2"/>
        <w:ind w:firstLine="420"/>
      </w:pPr>
    </w:p>
    <w:p>
      <w:pPr>
        <w:widowControl/>
        <w:adjustRightInd w:val="0"/>
        <w:spacing w:after="0" w:line="360" w:lineRule="auto"/>
        <w:ind w:firstLine="723" w:firstLineChars="300"/>
        <w:jc w:val="left"/>
        <w:textAlignment w:val="baseline"/>
        <w:rPr>
          <w:rFonts w:hint="eastAsia" w:ascii="宋体" w:hAnsi="宋体" w:cs="宋体"/>
          <w:b/>
          <w:color w:val="000000"/>
          <w:kern w:val="0"/>
          <w:sz w:val="24"/>
        </w:rPr>
      </w:pPr>
      <w:r>
        <w:rPr>
          <w:rFonts w:hint="eastAsia" w:ascii="宋体" w:hAnsi="宋体" w:cs="宋体"/>
          <w:b/>
          <w:color w:val="000000"/>
          <w:kern w:val="0"/>
          <w:sz w:val="24"/>
        </w:rPr>
        <w:t>2、食品安全要求</w:t>
      </w:r>
    </w:p>
    <w:p>
      <w:pPr>
        <w:widowControl/>
        <w:adjustRightInd w:val="0"/>
        <w:spacing w:after="0" w:line="360" w:lineRule="auto"/>
        <w:ind w:firstLine="480" w:firstLineChars="200"/>
        <w:jc w:val="left"/>
        <w:textAlignment w:val="baseline"/>
        <w:rPr>
          <w:rFonts w:hint="eastAsia" w:ascii="宋体" w:hAnsi="宋体" w:cs="宋体"/>
          <w:color w:val="000000"/>
          <w:kern w:val="0"/>
          <w:sz w:val="24"/>
        </w:rPr>
      </w:pPr>
      <w:r>
        <w:rPr>
          <w:rFonts w:hint="eastAsia" w:ascii="宋体" w:hAnsi="宋体" w:cs="宋体"/>
          <w:color w:val="000000"/>
          <w:kern w:val="0"/>
          <w:sz w:val="24"/>
        </w:rPr>
        <w:t>（1）中标人对配送产品的质量安全负责，在验收过程中若因产品本身质量问题或配送中污染、变质造成食品安全事件，中标人负全部责任。</w:t>
      </w:r>
    </w:p>
    <w:p>
      <w:pPr>
        <w:widowControl/>
        <w:adjustRightInd w:val="0"/>
        <w:spacing w:after="0" w:line="360" w:lineRule="auto"/>
        <w:ind w:firstLine="480" w:firstLineChars="200"/>
        <w:jc w:val="left"/>
        <w:textAlignment w:val="baseline"/>
        <w:rPr>
          <w:rFonts w:hint="eastAsia" w:ascii="宋体" w:hAnsi="宋体" w:cs="宋体"/>
          <w:color w:val="000000"/>
          <w:kern w:val="0"/>
          <w:sz w:val="24"/>
        </w:rPr>
      </w:pPr>
      <w:r>
        <w:rPr>
          <w:rFonts w:hint="eastAsia" w:ascii="宋体" w:hAnsi="宋体" w:cs="宋体"/>
          <w:color w:val="000000"/>
          <w:kern w:val="0"/>
          <w:sz w:val="24"/>
        </w:rPr>
        <w:t>（2）产品发生质量安全事件时，中标单位负责人必须立即到现场妥善处理，负责做好入院就医事项，做好安抚工作，并承担所产生的一切费用，因质量问题造成身体伤害及经济损失时，由中标人负责全部赔偿。</w:t>
      </w:r>
    </w:p>
    <w:p>
      <w:pPr>
        <w:widowControl/>
        <w:adjustRightInd w:val="0"/>
        <w:spacing w:after="0" w:line="360" w:lineRule="auto"/>
        <w:ind w:firstLine="480" w:firstLineChars="200"/>
        <w:jc w:val="left"/>
        <w:textAlignment w:val="baseline"/>
        <w:rPr>
          <w:rFonts w:hint="eastAsia" w:ascii="宋体" w:hAnsi="宋体" w:cs="宋体"/>
          <w:color w:val="000000"/>
          <w:kern w:val="0"/>
          <w:sz w:val="24"/>
        </w:rPr>
      </w:pPr>
      <w:r>
        <w:rPr>
          <w:rFonts w:hint="eastAsia" w:ascii="宋体" w:hAnsi="宋体" w:cs="宋体"/>
          <w:color w:val="000000"/>
          <w:kern w:val="0"/>
          <w:sz w:val="24"/>
        </w:rPr>
        <w:t>（3）因食用供餐发生食物中毒，经有关单位鉴定原因后，如确定为中标人提供之货品问题，中标人除需负担全数医药费及赔偿相关一切损失之外，应承担法律上一切责任，同时办理解约事宜。</w:t>
      </w:r>
    </w:p>
    <w:p>
      <w:pPr>
        <w:widowControl/>
        <w:adjustRightInd w:val="0"/>
        <w:spacing w:after="0" w:line="360" w:lineRule="auto"/>
        <w:ind w:firstLine="482" w:firstLineChars="200"/>
        <w:jc w:val="left"/>
        <w:textAlignment w:val="baseline"/>
        <w:rPr>
          <w:rFonts w:hint="eastAsia" w:ascii="宋体" w:hAnsi="宋体" w:cs="宋体"/>
          <w:b/>
          <w:bCs/>
          <w:color w:val="000000"/>
          <w:kern w:val="0"/>
          <w:sz w:val="24"/>
        </w:rPr>
      </w:pPr>
      <w:r>
        <w:rPr>
          <w:rFonts w:hint="eastAsia" w:ascii="宋体" w:hAnsi="宋体" w:cs="宋体"/>
          <w:b/>
          <w:bCs/>
          <w:color w:val="000000"/>
          <w:kern w:val="0"/>
          <w:sz w:val="24"/>
        </w:rPr>
        <w:t>3、配送时间及地点</w:t>
      </w:r>
    </w:p>
    <w:p>
      <w:pPr>
        <w:widowControl/>
        <w:adjustRightInd w:val="0"/>
        <w:spacing w:after="0" w:line="360" w:lineRule="auto"/>
        <w:ind w:firstLine="480" w:firstLineChars="200"/>
        <w:jc w:val="left"/>
        <w:textAlignment w:val="baseline"/>
        <w:rPr>
          <w:rFonts w:hint="eastAsia" w:ascii="宋体" w:hAnsi="宋体" w:cs="宋体"/>
          <w:color w:val="000000"/>
          <w:kern w:val="0"/>
          <w:sz w:val="24"/>
        </w:rPr>
      </w:pPr>
      <w:r>
        <w:rPr>
          <w:rFonts w:hint="eastAsia" w:ascii="宋体" w:hAnsi="宋体" w:cs="宋体"/>
          <w:color w:val="000000"/>
          <w:kern w:val="0"/>
          <w:sz w:val="24"/>
        </w:rPr>
        <w:t>采购人发出采购需求通知后，成交供应商按采购人通知的数量、时间等要求送达指定地点，紧急情况下，送货时间不超过4小时。</w:t>
      </w:r>
    </w:p>
    <w:p>
      <w:pPr>
        <w:widowControl/>
        <w:adjustRightInd w:val="0"/>
        <w:spacing w:after="0" w:line="360" w:lineRule="auto"/>
        <w:ind w:firstLine="482" w:firstLineChars="200"/>
        <w:jc w:val="left"/>
        <w:textAlignment w:val="baseline"/>
        <w:rPr>
          <w:rFonts w:hint="eastAsia" w:ascii="宋体" w:hAnsi="宋体" w:cs="宋体"/>
          <w:b/>
          <w:bCs/>
          <w:color w:val="000000"/>
          <w:kern w:val="0"/>
          <w:sz w:val="24"/>
        </w:rPr>
      </w:pPr>
      <w:r>
        <w:rPr>
          <w:rFonts w:hint="eastAsia" w:ascii="宋体" w:hAnsi="宋体" w:cs="宋体"/>
          <w:b/>
          <w:bCs/>
          <w:color w:val="000000"/>
          <w:kern w:val="0"/>
          <w:sz w:val="24"/>
        </w:rPr>
        <w:t>4、食品安全责任保险</w:t>
      </w:r>
    </w:p>
    <w:p>
      <w:pPr>
        <w:widowControl/>
        <w:adjustRightInd w:val="0"/>
        <w:spacing w:after="0" w:line="360" w:lineRule="auto"/>
        <w:ind w:firstLine="480" w:firstLineChars="200"/>
        <w:jc w:val="left"/>
        <w:textAlignment w:val="baseline"/>
        <w:rPr>
          <w:rFonts w:hint="eastAsia" w:ascii="宋体" w:hAnsi="宋体" w:cs="宋体"/>
          <w:color w:val="000000"/>
          <w:kern w:val="0"/>
          <w:sz w:val="24"/>
        </w:rPr>
      </w:pPr>
      <w:r>
        <w:rPr>
          <w:rFonts w:hint="eastAsia" w:ascii="宋体" w:hAnsi="宋体" w:cs="宋体"/>
          <w:color w:val="000000"/>
          <w:kern w:val="0"/>
          <w:sz w:val="24"/>
        </w:rPr>
        <w:t>投标人须承诺中标后在本项目采购合同签订前为本项目购买食品安全责任保险，保额不得低于200万元，并承诺在供货期限内保额不得降低（提供承诺函，格式自拟）。</w:t>
      </w:r>
    </w:p>
    <w:p>
      <w:pPr>
        <w:pStyle w:val="2"/>
        <w:spacing w:line="360" w:lineRule="auto"/>
        <w:ind w:firstLine="482"/>
        <w:rPr>
          <w:rFonts w:hint="eastAsia" w:ascii="宋体" w:hAnsi="宋体" w:cs="宋体"/>
          <w:b/>
          <w:bCs/>
          <w:color w:val="000000"/>
          <w:kern w:val="0"/>
          <w:sz w:val="24"/>
        </w:rPr>
      </w:pPr>
      <w:r>
        <w:rPr>
          <w:rFonts w:hint="eastAsia" w:ascii="宋体" w:hAnsi="宋体" w:cs="宋体"/>
          <w:b/>
          <w:bCs/>
          <w:color w:val="000000"/>
          <w:kern w:val="0"/>
          <w:sz w:val="24"/>
        </w:rPr>
        <w:t>5、配送人员及车辆要求</w:t>
      </w:r>
    </w:p>
    <w:p>
      <w:pPr>
        <w:pStyle w:val="2"/>
        <w:spacing w:line="360" w:lineRule="auto"/>
        <w:ind w:firstLine="480"/>
      </w:pPr>
      <w:r>
        <w:rPr>
          <w:rFonts w:hint="eastAsia" w:ascii="宋体" w:hAnsi="宋体" w:cs="宋体"/>
          <w:color w:val="000000"/>
          <w:kern w:val="0"/>
          <w:sz w:val="24"/>
        </w:rPr>
        <w:t>投标人须承诺为本项目配备固定的配送人员及供货车辆，且在供货期限内本项目配送人员及供货车辆不得擅自变更，如有变更，需向采购人提交相关证明材料，经采购人同意后方可变更（提供承诺函，格式自拟）。</w:t>
      </w:r>
    </w:p>
    <w:p>
      <w:pPr>
        <w:spacing w:line="360" w:lineRule="auto"/>
        <w:rPr>
          <w:rFonts w:hint="eastAsia" w:ascii="宋体" w:hAnsi="宋体" w:cs="仿宋"/>
          <w:b/>
          <w:sz w:val="24"/>
        </w:rPr>
      </w:pPr>
      <w:r>
        <w:rPr>
          <w:rFonts w:hint="eastAsia" w:ascii="宋体" w:hAnsi="宋体" w:cs="仿宋"/>
          <w:b/>
          <w:sz w:val="24"/>
        </w:rPr>
        <w:t>（五）验收标准和方法</w:t>
      </w:r>
    </w:p>
    <w:p>
      <w:pPr>
        <w:spacing w:line="360" w:lineRule="auto"/>
        <w:ind w:firstLine="480" w:firstLineChars="200"/>
        <w:rPr>
          <w:rFonts w:hint="eastAsia" w:ascii="宋体" w:hAnsi="宋体" w:cs="仿宋"/>
          <w:bCs/>
          <w:sz w:val="24"/>
        </w:rPr>
      </w:pPr>
      <w:r>
        <w:rPr>
          <w:rFonts w:hint="eastAsia" w:ascii="宋体" w:hAnsi="宋体" w:cs="仿宋"/>
          <w:bCs/>
          <w:sz w:val="24"/>
        </w:rPr>
        <w:t>1、由采购人验收人员依据供货的时间、质量、数量等资料，并按国家有关规定、</w:t>
      </w:r>
      <w:r>
        <w:rPr>
          <w:rFonts w:hint="eastAsia" w:ascii="宋体" w:hAnsi="宋体" w:cs="仿宋"/>
          <w:bCs/>
          <w:sz w:val="24"/>
          <w:lang w:eastAsia="zh-CN"/>
        </w:rPr>
        <w:t>招标</w:t>
      </w:r>
      <w:r>
        <w:rPr>
          <w:rFonts w:hint="eastAsia" w:ascii="宋体" w:hAnsi="宋体" w:cs="仿宋"/>
          <w:bCs/>
          <w:sz w:val="24"/>
        </w:rPr>
        <w:t>文件的质量要求和技术指标、成交人的响应文件及承诺与合同约定进行当场验收，签字确认。</w:t>
      </w:r>
    </w:p>
    <w:p>
      <w:pPr>
        <w:spacing w:line="360" w:lineRule="auto"/>
        <w:ind w:firstLine="480" w:firstLineChars="200"/>
        <w:rPr>
          <w:rFonts w:hint="eastAsia" w:ascii="宋体" w:hAnsi="宋体" w:cs="仿宋"/>
          <w:bCs/>
          <w:sz w:val="24"/>
        </w:rPr>
      </w:pPr>
      <w:r>
        <w:rPr>
          <w:rFonts w:hint="eastAsia" w:ascii="宋体" w:hAnsi="宋体" w:cs="仿宋"/>
          <w:bCs/>
          <w:sz w:val="24"/>
        </w:rPr>
        <w:t>2、验收具体标准：应体干，不软塌、不变味、无发霉回潮现象；正常色泽，质优，规格符合标准，无生虫现象。</w:t>
      </w:r>
    </w:p>
    <w:p>
      <w:pPr>
        <w:spacing w:line="360" w:lineRule="auto"/>
        <w:ind w:firstLine="480" w:firstLineChars="200"/>
        <w:rPr>
          <w:rStyle w:val="8"/>
          <w:rFonts w:ascii="宋体" w:hAnsi="宋体"/>
          <w:sz w:val="24"/>
        </w:rPr>
      </w:pPr>
      <w:r>
        <w:rPr>
          <w:rStyle w:val="8"/>
          <w:rFonts w:hint="eastAsia" w:ascii="宋体" w:hAnsi="宋体"/>
          <w:sz w:val="24"/>
        </w:rPr>
        <w:t>3、</w:t>
      </w:r>
      <w:r>
        <w:rPr>
          <w:rStyle w:val="8"/>
          <w:rFonts w:ascii="宋体" w:hAnsi="宋体"/>
          <w:sz w:val="24"/>
        </w:rPr>
        <w:t>其他未尽事宜，</w:t>
      </w:r>
      <w:r>
        <w:rPr>
          <w:rStyle w:val="8"/>
          <w:rFonts w:hint="eastAsia" w:ascii="宋体" w:hAnsi="宋体"/>
          <w:sz w:val="24"/>
        </w:rPr>
        <w:t>参照</w:t>
      </w:r>
      <w:r>
        <w:rPr>
          <w:rStyle w:val="8"/>
          <w:rFonts w:ascii="宋体" w:hAnsi="宋体"/>
          <w:sz w:val="24"/>
        </w:rPr>
        <w:t>《财政部关于进一步加强政府采购需求和履约验收管理的指导意见》(财库〔2016〕205 号)的要求进行。</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Njc5ZDA1NmJlMWYwNzAwMjk1NjU2NTk4NjlkZjYifQ=="/>
  </w:docVars>
  <w:rsids>
    <w:rsidRoot w:val="287E60AF"/>
    <w:rsid w:val="287E6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jc w:val="center"/>
      <w:outlineLvl w:val="0"/>
    </w:pPr>
    <w:rPr>
      <w:b/>
      <w:bCs/>
      <w:kern w:val="44"/>
      <w:sz w:val="32"/>
      <w:szCs w:val="44"/>
    </w:rPr>
  </w:style>
  <w:style w:type="paragraph" w:styleId="3">
    <w:name w:val="heading 4"/>
    <w:basedOn w:val="1"/>
    <w:next w:val="1"/>
    <w:qFormat/>
    <w:uiPriority w:val="0"/>
    <w:pPr>
      <w:keepNext/>
      <w:keepLines/>
      <w:jc w:val="center"/>
      <w:outlineLvl w:val="3"/>
    </w:pPr>
    <w:rPr>
      <w:rFonts w:ascii="Arial" w:hAnsi="Arial"/>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200" w:firstLineChars="200"/>
    </w:pPr>
  </w:style>
  <w:style w:type="paragraph" w:customStyle="1" w:styleId="7">
    <w:name w:val="BodyText3"/>
    <w:basedOn w:val="1"/>
    <w:qFormat/>
    <w:uiPriority w:val="0"/>
    <w:pPr>
      <w:spacing w:line="240" w:lineRule="auto"/>
      <w:jc w:val="center"/>
    </w:pPr>
    <w:rPr>
      <w:rFonts w:hAnsi="Symbol"/>
      <w:sz w:val="10"/>
      <w:szCs w:val="10"/>
    </w:rPr>
  </w:style>
  <w:style w:type="character" w:customStyle="1" w:styleId="8">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2022-06-17T02:08:00Z</dcterms:created>
  <dc:creator>Administrator</dc:creator>
  <cp:lastModifiedBy>Administrator</cp:lastModifiedBy>
  <dcterms:modified xsi:type="dcterms:W3CDTF">2022-06-17T02:09:27Z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DCE8351FEB8B4494BB37763F55BE9417</vt:lpwstr>
  </property>
</Properties>
</file>